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240" w:after="240" w:line="400" w:lineRule="exact"/>
        <w:ind w:left="-1" w:leftChars="-405" w:right="-848" w:rightChars="-404" w:hanging="849" w:hangingChars="235"/>
        <w:jc w:val="center"/>
        <w:rPr>
          <w:rFonts w:ascii="宋体" w:hAnsi="宋体" w:eastAsia="宋体" w:cs="Times New Roman"/>
          <w:b/>
          <w:color w:val="000000" w:themeColor="text1"/>
          <w:kern w:val="0"/>
          <w:sz w:val="36"/>
          <w:szCs w:val="36"/>
          <w14:textFill>
            <w14:solidFill>
              <w14:schemeClr w14:val="tx1"/>
            </w14:solidFill>
          </w14:textFill>
        </w:rPr>
      </w:pPr>
      <w:r>
        <w:rPr>
          <w:rFonts w:hint="eastAsia" w:ascii="宋体" w:hAnsi="宋体" w:eastAsia="宋体" w:cs="Times New Roman"/>
          <w:b/>
          <w:color w:val="000000" w:themeColor="text1"/>
          <w:kern w:val="0"/>
          <w:sz w:val="36"/>
          <w:szCs w:val="36"/>
          <w14:textFill>
            <w14:solidFill>
              <w14:schemeClr w14:val="tx1"/>
            </w14:solidFill>
          </w14:textFill>
        </w:rPr>
        <w:t>关于举办IT服务管理最佳实践（ITIL</w:t>
      </w:r>
      <w:r>
        <w:rPr>
          <w:rFonts w:ascii="宋体" w:hAnsi="宋体" w:eastAsia="宋体" w:cs="Times New Roman"/>
          <w:b/>
          <w:color w:val="000000" w:themeColor="text1"/>
          <w:kern w:val="0"/>
          <w:sz w:val="36"/>
          <w:szCs w:val="36"/>
          <w14:textFill>
            <w14:solidFill>
              <w14:schemeClr w14:val="tx1"/>
            </w14:solidFill>
          </w14:textFill>
        </w:rPr>
        <w:t xml:space="preserve"> 4</w:t>
      </w:r>
      <w:r>
        <w:rPr>
          <w:rFonts w:hint="eastAsia" w:ascii="宋体" w:hAnsi="宋体" w:eastAsia="宋体" w:cs="Times New Roman"/>
          <w:b/>
          <w:color w:val="000000" w:themeColor="text1"/>
          <w:kern w:val="0"/>
          <w:sz w:val="36"/>
          <w:szCs w:val="36"/>
          <w14:textFill>
            <w14:solidFill>
              <w14:schemeClr w14:val="tx1"/>
            </w14:solidFill>
          </w14:textFill>
        </w:rPr>
        <w:t xml:space="preserve"> Foundation国际认证）</w:t>
      </w:r>
    </w:p>
    <w:p>
      <w:pPr>
        <w:widowControl/>
        <w:adjustRightInd w:val="0"/>
        <w:snapToGrid w:val="0"/>
        <w:spacing w:before="240" w:after="240" w:line="400" w:lineRule="exact"/>
        <w:jc w:val="center"/>
        <w:rPr>
          <w:rFonts w:ascii="宋体" w:hAnsi="宋体" w:eastAsia="宋体" w:cs="Times New Roman"/>
          <w:b/>
          <w:color w:val="000000" w:themeColor="text1"/>
          <w:kern w:val="0"/>
          <w:sz w:val="36"/>
          <w:szCs w:val="36"/>
          <w14:textFill>
            <w14:solidFill>
              <w14:schemeClr w14:val="tx1"/>
            </w14:solidFill>
          </w14:textFill>
        </w:rPr>
      </w:pPr>
      <w:r>
        <w:rPr>
          <w:rFonts w:hint="eastAsia" w:ascii="宋体" w:hAnsi="宋体" w:eastAsia="宋体" w:cs="Times New Roman"/>
          <w:b/>
          <w:color w:val="000000" w:themeColor="text1"/>
          <w:kern w:val="0"/>
          <w:sz w:val="36"/>
          <w:szCs w:val="36"/>
          <w:lang w:eastAsia="zh-CN"/>
          <w14:textFill>
            <w14:solidFill>
              <w14:schemeClr w14:val="tx1"/>
            </w14:solidFill>
          </w14:textFill>
        </w:rPr>
        <w:t>培</w:t>
      </w:r>
      <w:bookmarkStart w:id="0" w:name="_GoBack"/>
      <w:bookmarkEnd w:id="0"/>
      <w:r>
        <w:rPr>
          <w:rFonts w:hint="eastAsia" w:ascii="宋体" w:hAnsi="宋体" w:eastAsia="宋体" w:cs="Times New Roman"/>
          <w:b/>
          <w:color w:val="000000" w:themeColor="text1"/>
          <w:kern w:val="0"/>
          <w:sz w:val="36"/>
          <w:szCs w:val="36"/>
          <w14:textFill>
            <w14:solidFill>
              <w14:schemeClr w14:val="tx1"/>
            </w14:solidFill>
          </w14:textFill>
        </w:rPr>
        <w:t>训班的通知</w:t>
      </w:r>
    </w:p>
    <w:tbl>
      <w:tblPr>
        <w:tblStyle w:val="8"/>
        <w:tblW w:w="8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803"/>
        <w:gridCol w:w="1674"/>
        <w:gridCol w:w="1672"/>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703"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000000"/>
                <w:spacing w:val="8"/>
                <w:sz w:val="24"/>
                <w:szCs w:val="24"/>
              </w:rPr>
            </w:pPr>
            <w:r>
              <w:rPr>
                <w:rFonts w:hint="eastAsia" w:ascii="宋体" w:hAnsi="宋体" w:eastAsia="宋体"/>
                <w:b/>
                <w:color w:val="000000"/>
                <w:spacing w:val="8"/>
                <w:sz w:val="24"/>
                <w:szCs w:val="24"/>
              </w:rPr>
              <w:t>培训地点</w:t>
            </w:r>
          </w:p>
        </w:tc>
        <w:tc>
          <w:tcPr>
            <w:tcW w:w="1803"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北京</w:t>
            </w:r>
          </w:p>
        </w:tc>
        <w:tc>
          <w:tcPr>
            <w:tcW w:w="1674"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宁波</w:t>
            </w:r>
          </w:p>
        </w:tc>
        <w:tc>
          <w:tcPr>
            <w:tcW w:w="167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威海</w:t>
            </w:r>
          </w:p>
        </w:tc>
        <w:tc>
          <w:tcPr>
            <w:tcW w:w="167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703"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000000"/>
                <w:spacing w:val="8"/>
                <w:sz w:val="24"/>
                <w:szCs w:val="24"/>
              </w:rPr>
            </w:pPr>
            <w:r>
              <w:rPr>
                <w:rFonts w:hint="eastAsia" w:ascii="宋体" w:hAnsi="宋体" w:eastAsia="宋体"/>
                <w:b/>
                <w:color w:val="000000"/>
                <w:spacing w:val="8"/>
                <w:sz w:val="24"/>
                <w:szCs w:val="24"/>
              </w:rPr>
              <w:t>培训时间</w:t>
            </w:r>
          </w:p>
        </w:tc>
        <w:tc>
          <w:tcPr>
            <w:tcW w:w="1803"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3月</w:t>
            </w:r>
          </w:p>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2</w:t>
            </w:r>
            <w:r>
              <w:rPr>
                <w:rFonts w:ascii="宋体" w:hAnsi="宋体" w:eastAsia="宋体"/>
                <w:b/>
                <w:color w:val="3366FF"/>
                <w:spacing w:val="8"/>
                <w:sz w:val="24"/>
                <w:szCs w:val="24"/>
              </w:rPr>
              <w:t>6</w:t>
            </w:r>
            <w:r>
              <w:rPr>
                <w:rFonts w:hint="eastAsia" w:ascii="宋体" w:hAnsi="宋体" w:eastAsia="宋体"/>
                <w:b/>
                <w:color w:val="3366FF"/>
                <w:spacing w:val="8"/>
                <w:sz w:val="24"/>
                <w:szCs w:val="24"/>
              </w:rPr>
              <w:t>-</w:t>
            </w:r>
            <w:r>
              <w:rPr>
                <w:rFonts w:ascii="宋体" w:hAnsi="宋体" w:eastAsia="宋体"/>
                <w:b/>
                <w:color w:val="3366FF"/>
                <w:spacing w:val="8"/>
                <w:sz w:val="24"/>
                <w:szCs w:val="24"/>
              </w:rPr>
              <w:t>29</w:t>
            </w:r>
          </w:p>
        </w:tc>
        <w:tc>
          <w:tcPr>
            <w:tcW w:w="1674"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6月</w:t>
            </w:r>
          </w:p>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2</w:t>
            </w:r>
            <w:r>
              <w:rPr>
                <w:rFonts w:ascii="宋体" w:hAnsi="宋体" w:eastAsia="宋体"/>
                <w:b/>
                <w:color w:val="3366FF"/>
                <w:spacing w:val="8"/>
                <w:sz w:val="24"/>
                <w:szCs w:val="24"/>
              </w:rPr>
              <w:t>4</w:t>
            </w:r>
            <w:r>
              <w:rPr>
                <w:rFonts w:hint="eastAsia" w:ascii="宋体" w:hAnsi="宋体" w:eastAsia="宋体"/>
                <w:b/>
                <w:color w:val="3366FF"/>
                <w:spacing w:val="8"/>
                <w:sz w:val="24"/>
                <w:szCs w:val="24"/>
              </w:rPr>
              <w:t>-</w:t>
            </w:r>
            <w:r>
              <w:rPr>
                <w:rFonts w:ascii="宋体" w:hAnsi="宋体" w:eastAsia="宋体"/>
                <w:b/>
                <w:color w:val="3366FF"/>
                <w:spacing w:val="8"/>
                <w:sz w:val="24"/>
                <w:szCs w:val="24"/>
              </w:rPr>
              <w:t>27</w:t>
            </w:r>
          </w:p>
        </w:tc>
        <w:tc>
          <w:tcPr>
            <w:tcW w:w="167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8月</w:t>
            </w:r>
          </w:p>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1</w:t>
            </w:r>
            <w:r>
              <w:rPr>
                <w:rFonts w:ascii="宋体" w:hAnsi="宋体" w:eastAsia="宋体"/>
                <w:b/>
                <w:color w:val="3366FF"/>
                <w:spacing w:val="8"/>
                <w:sz w:val="24"/>
                <w:szCs w:val="24"/>
              </w:rPr>
              <w:t>6</w:t>
            </w:r>
            <w:r>
              <w:rPr>
                <w:rFonts w:hint="eastAsia" w:ascii="宋体" w:hAnsi="宋体" w:eastAsia="宋体"/>
                <w:b/>
                <w:color w:val="3366FF"/>
                <w:spacing w:val="8"/>
                <w:sz w:val="24"/>
                <w:szCs w:val="24"/>
              </w:rPr>
              <w:t>-</w:t>
            </w:r>
            <w:r>
              <w:rPr>
                <w:rFonts w:ascii="宋体" w:hAnsi="宋体" w:eastAsia="宋体"/>
                <w:b/>
                <w:color w:val="3366FF"/>
                <w:spacing w:val="8"/>
                <w:sz w:val="24"/>
                <w:szCs w:val="24"/>
              </w:rPr>
              <w:t>19</w:t>
            </w:r>
          </w:p>
        </w:tc>
        <w:tc>
          <w:tcPr>
            <w:tcW w:w="167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1</w:t>
            </w:r>
            <w:r>
              <w:rPr>
                <w:rFonts w:ascii="宋体" w:hAnsi="宋体" w:eastAsia="宋体"/>
                <w:b/>
                <w:color w:val="3366FF"/>
                <w:spacing w:val="8"/>
                <w:sz w:val="24"/>
                <w:szCs w:val="24"/>
              </w:rPr>
              <w:t>2</w:t>
            </w:r>
            <w:r>
              <w:rPr>
                <w:rFonts w:hint="eastAsia" w:ascii="宋体" w:hAnsi="宋体" w:eastAsia="宋体"/>
                <w:b/>
                <w:color w:val="3366FF"/>
                <w:spacing w:val="8"/>
                <w:sz w:val="24"/>
                <w:szCs w:val="24"/>
              </w:rPr>
              <w:t>月</w:t>
            </w:r>
          </w:p>
          <w:p>
            <w:pPr>
              <w:tabs>
                <w:tab w:val="left" w:pos="10080"/>
              </w:tabs>
              <w:ind w:right="-80" w:rightChars="-38"/>
              <w:jc w:val="center"/>
              <w:rPr>
                <w:rFonts w:ascii="宋体" w:hAnsi="宋体" w:eastAsia="宋体"/>
                <w:b/>
                <w:color w:val="3366FF"/>
                <w:spacing w:val="8"/>
                <w:sz w:val="24"/>
                <w:szCs w:val="24"/>
              </w:rPr>
            </w:pPr>
            <w:r>
              <w:rPr>
                <w:rFonts w:hint="eastAsia" w:ascii="宋体" w:hAnsi="宋体" w:eastAsia="宋体"/>
                <w:b/>
                <w:color w:val="3366FF"/>
                <w:spacing w:val="8"/>
                <w:sz w:val="24"/>
                <w:szCs w:val="24"/>
              </w:rPr>
              <w:t>2</w:t>
            </w:r>
            <w:r>
              <w:rPr>
                <w:rFonts w:ascii="宋体" w:hAnsi="宋体" w:eastAsia="宋体"/>
                <w:b/>
                <w:color w:val="3366FF"/>
                <w:spacing w:val="8"/>
                <w:sz w:val="24"/>
                <w:szCs w:val="24"/>
              </w:rPr>
              <w:t>0</w:t>
            </w:r>
            <w:r>
              <w:rPr>
                <w:rFonts w:hint="eastAsia" w:ascii="宋体" w:hAnsi="宋体" w:eastAsia="宋体"/>
                <w:b/>
                <w:color w:val="3366FF"/>
                <w:spacing w:val="8"/>
                <w:sz w:val="24"/>
                <w:szCs w:val="24"/>
              </w:rPr>
              <w:t>-</w:t>
            </w:r>
            <w:r>
              <w:rPr>
                <w:rFonts w:ascii="宋体" w:hAnsi="宋体" w:eastAsia="宋体"/>
                <w:b/>
                <w:color w:val="3366FF"/>
                <w:spacing w:val="8"/>
                <w:sz w:val="24"/>
                <w:szCs w:val="24"/>
              </w:rPr>
              <w:t>23</w:t>
            </w:r>
          </w:p>
        </w:tc>
      </w:tr>
    </w:tbl>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培训</w:t>
      </w:r>
      <w:r>
        <w:rPr>
          <w:rFonts w:ascii="宋体" w:hAnsi="宋体" w:eastAsia="宋体" w:cs="仿宋_GB2312"/>
          <w:b/>
          <w:bCs/>
          <w:color w:val="000000" w:themeColor="text1"/>
          <w:sz w:val="28"/>
          <w:szCs w:val="28"/>
          <w14:textFill>
            <w14:solidFill>
              <w14:schemeClr w14:val="tx1"/>
            </w14:solidFill>
          </w14:textFill>
        </w:rPr>
        <w:t>收益</w:t>
      </w:r>
    </w:p>
    <w:p>
      <w:pPr>
        <w:tabs>
          <w:tab w:val="left" w:pos="-426"/>
          <w:tab w:val="left" w:pos="585"/>
        </w:tabs>
        <w:adjustRightInd w:val="0"/>
        <w:snapToGrid w:val="0"/>
        <w:spacing w:line="400" w:lineRule="exact"/>
        <w:ind w:firstLine="480" w:firstLineChars="200"/>
        <w:rPr>
          <w:rFonts w:ascii="宋体" w:hAnsi="宋体" w:eastAsia="宋体" w:cs="仿宋_GB2312"/>
          <w:bCs/>
          <w:color w:val="000000" w:themeColor="text1"/>
          <w:sz w:val="24"/>
          <w:szCs w:val="28"/>
          <w14:textFill>
            <w14:solidFill>
              <w14:schemeClr w14:val="tx1"/>
            </w14:solidFill>
          </w14:textFill>
        </w:rPr>
      </w:pPr>
      <w:r>
        <w:rPr>
          <w:rFonts w:ascii="宋体" w:hAnsi="宋体" w:eastAsia="宋体" w:cs="仿宋_GB2312"/>
          <w:bCs/>
          <w:color w:val="000000" w:themeColor="text1"/>
          <w:sz w:val="24"/>
          <w:szCs w:val="28"/>
          <w14:textFill>
            <w14:solidFill>
              <w14:schemeClr w14:val="tx1"/>
            </w14:solidFill>
          </w14:textFill>
        </w:rPr>
        <w:tab/>
      </w:r>
      <w:r>
        <w:rPr>
          <w:rFonts w:ascii="宋体" w:hAnsi="宋体" w:eastAsia="宋体" w:cs="仿宋_GB2312"/>
          <w:bCs/>
          <w:color w:val="000000" w:themeColor="text1"/>
          <w:sz w:val="24"/>
          <w:szCs w:val="28"/>
          <w14:textFill>
            <w14:solidFill>
              <w14:schemeClr w14:val="tx1"/>
            </w14:solidFill>
          </w14:textFill>
        </w:rPr>
        <w:tab/>
      </w:r>
      <w:r>
        <w:rPr>
          <w:rFonts w:hint="eastAsia" w:ascii="宋体" w:hAnsi="宋体" w:eastAsia="宋体" w:cs="仿宋_GB2312"/>
          <w:bCs/>
          <w:color w:val="000000" w:themeColor="text1"/>
          <w:sz w:val="24"/>
          <w:szCs w:val="28"/>
          <w14:textFill>
            <w14:solidFill>
              <w14:schemeClr w14:val="tx1"/>
            </w14:solidFill>
          </w14:textFill>
        </w:rPr>
        <w:t>本课程全程结合授课老师实际工作和项目中IT服务管理的内容，生动阐明IT服务理论在实际中如何运用。本课程通过培训使学习者获得如下收益:</w:t>
      </w:r>
    </w:p>
    <w:p>
      <w:pPr>
        <w:tabs>
          <w:tab w:val="left" w:pos="-426"/>
          <w:tab w:val="left" w:pos="585"/>
        </w:tabs>
        <w:adjustRightInd w:val="0"/>
        <w:snapToGrid w:val="0"/>
        <w:spacing w:line="400" w:lineRule="exact"/>
        <w:ind w:firstLine="480" w:firstLineChars="20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s="仿宋_GB2312"/>
          <w:bCs/>
          <w:color w:val="000000" w:themeColor="text1"/>
          <w:sz w:val="24"/>
          <w:szCs w:val="28"/>
          <w14:textFill>
            <w14:solidFill>
              <w14:schemeClr w14:val="tx1"/>
            </w14:solidFill>
          </w14:textFill>
        </w:rPr>
        <w:t>1.</w:t>
      </w:r>
      <w:r>
        <w:rPr>
          <w:rFonts w:hint="eastAsia" w:ascii="宋体" w:hAnsi="宋体" w:eastAsia="宋体" w:cs="仿宋_GB2312"/>
          <w:bCs/>
          <w:color w:val="000000" w:themeColor="text1"/>
          <w:sz w:val="24"/>
          <w:szCs w:val="28"/>
          <w14:textFill>
            <w14:solidFill>
              <w14:schemeClr w14:val="tx1"/>
            </w14:solidFill>
          </w14:textFill>
        </w:rPr>
        <w:tab/>
      </w:r>
      <w:r>
        <w:rPr>
          <w:rFonts w:hint="eastAsia" w:ascii="宋体" w:hAnsi="宋体" w:eastAsia="宋体" w:cs="仿宋_GB2312"/>
          <w:bCs/>
          <w:color w:val="000000" w:themeColor="text1"/>
          <w:sz w:val="24"/>
          <w:szCs w:val="28"/>
          <w14:textFill>
            <w14:solidFill>
              <w14:schemeClr w14:val="tx1"/>
            </w14:solidFill>
          </w14:textFill>
        </w:rPr>
        <w:t>掌握IT服务管理的重要概念，其最佳实践ITIL的基本知识；</w:t>
      </w:r>
    </w:p>
    <w:p>
      <w:pPr>
        <w:tabs>
          <w:tab w:val="left" w:pos="-426"/>
          <w:tab w:val="left" w:pos="585"/>
        </w:tabs>
        <w:adjustRightInd w:val="0"/>
        <w:snapToGrid w:val="0"/>
        <w:spacing w:line="400" w:lineRule="exact"/>
        <w:ind w:firstLine="480" w:firstLineChars="20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s="仿宋_GB2312"/>
          <w:bCs/>
          <w:color w:val="000000" w:themeColor="text1"/>
          <w:sz w:val="24"/>
          <w:szCs w:val="28"/>
          <w14:textFill>
            <w14:solidFill>
              <w14:schemeClr w14:val="tx1"/>
            </w14:solidFill>
          </w14:textFill>
        </w:rPr>
        <w:t>2.</w:t>
      </w:r>
      <w:r>
        <w:rPr>
          <w:rFonts w:hint="eastAsia" w:ascii="宋体" w:hAnsi="宋体" w:eastAsia="宋体" w:cs="仿宋_GB2312"/>
          <w:bCs/>
          <w:color w:val="000000" w:themeColor="text1"/>
          <w:sz w:val="24"/>
          <w:szCs w:val="28"/>
          <w14:textFill>
            <w14:solidFill>
              <w14:schemeClr w14:val="tx1"/>
            </w14:solidFill>
          </w14:textFill>
        </w:rPr>
        <w:tab/>
      </w:r>
      <w:r>
        <w:rPr>
          <w:rFonts w:hint="eastAsia" w:ascii="宋体" w:hAnsi="宋体" w:eastAsia="宋体" w:cs="仿宋_GB2312"/>
          <w:bCs/>
          <w:color w:val="000000" w:themeColor="text1"/>
          <w:sz w:val="24"/>
          <w:szCs w:val="28"/>
          <w14:textFill>
            <w14:solidFill>
              <w14:schemeClr w14:val="tx1"/>
            </w14:solidFill>
          </w14:textFill>
        </w:rPr>
        <w:t>了解ITIL生命周期各模块之间的关系及IT服务管理的落地思想；</w:t>
      </w:r>
    </w:p>
    <w:p>
      <w:pPr>
        <w:tabs>
          <w:tab w:val="left" w:pos="-426"/>
          <w:tab w:val="left" w:pos="585"/>
        </w:tabs>
        <w:adjustRightInd w:val="0"/>
        <w:snapToGrid w:val="0"/>
        <w:spacing w:line="400" w:lineRule="exact"/>
        <w:ind w:firstLine="480" w:firstLineChars="20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s="仿宋_GB2312"/>
          <w:bCs/>
          <w:color w:val="000000" w:themeColor="text1"/>
          <w:sz w:val="24"/>
          <w:szCs w:val="28"/>
          <w14:textFill>
            <w14:solidFill>
              <w14:schemeClr w14:val="tx1"/>
            </w14:solidFill>
          </w14:textFill>
        </w:rPr>
        <w:t>3.</w:t>
      </w:r>
      <w:r>
        <w:rPr>
          <w:rFonts w:hint="eastAsia" w:ascii="宋体" w:hAnsi="宋体" w:eastAsia="宋体" w:cs="仿宋_GB2312"/>
          <w:bCs/>
          <w:color w:val="000000" w:themeColor="text1"/>
          <w:sz w:val="24"/>
          <w:szCs w:val="28"/>
          <w14:textFill>
            <w14:solidFill>
              <w14:schemeClr w14:val="tx1"/>
            </w14:solidFill>
          </w14:textFill>
        </w:rPr>
        <w:tab/>
      </w:r>
      <w:r>
        <w:rPr>
          <w:rFonts w:hint="eastAsia" w:ascii="宋体" w:hAnsi="宋体" w:eastAsia="宋体" w:cs="仿宋_GB2312"/>
          <w:bCs/>
          <w:color w:val="000000" w:themeColor="text1"/>
          <w:sz w:val="24"/>
          <w:szCs w:val="28"/>
          <w14:textFill>
            <w14:solidFill>
              <w14:schemeClr w14:val="tx1"/>
            </w14:solidFill>
          </w14:textFill>
        </w:rPr>
        <w:t>熟悉IT服务管理中的角色、过程以及关键流程的组件；</w:t>
      </w:r>
    </w:p>
    <w:p>
      <w:pPr>
        <w:tabs>
          <w:tab w:val="left" w:pos="-426"/>
          <w:tab w:val="left" w:pos="585"/>
        </w:tabs>
        <w:adjustRightInd w:val="0"/>
        <w:snapToGrid w:val="0"/>
        <w:spacing w:line="400" w:lineRule="exact"/>
        <w:ind w:firstLine="480" w:firstLineChars="20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s="仿宋_GB2312"/>
          <w:bCs/>
          <w:color w:val="000000" w:themeColor="text1"/>
          <w:sz w:val="24"/>
          <w:szCs w:val="28"/>
          <w14:textFill>
            <w14:solidFill>
              <w14:schemeClr w14:val="tx1"/>
            </w14:solidFill>
          </w14:textFill>
        </w:rPr>
        <w:t>4.</w:t>
      </w:r>
      <w:r>
        <w:rPr>
          <w:rFonts w:hint="eastAsia" w:ascii="宋体" w:hAnsi="宋体" w:eastAsia="宋体" w:cs="仿宋_GB2312"/>
          <w:bCs/>
          <w:color w:val="000000" w:themeColor="text1"/>
          <w:sz w:val="24"/>
          <w:szCs w:val="28"/>
          <w14:textFill>
            <w14:solidFill>
              <w14:schemeClr w14:val="tx1"/>
            </w14:solidFill>
          </w14:textFill>
        </w:rPr>
        <w:tab/>
      </w:r>
      <w:r>
        <w:rPr>
          <w:rFonts w:hint="eastAsia" w:ascii="宋体" w:hAnsi="宋体" w:eastAsia="宋体" w:cs="仿宋_GB2312"/>
          <w:bCs/>
          <w:color w:val="000000" w:themeColor="text1"/>
          <w:sz w:val="24"/>
          <w:szCs w:val="28"/>
          <w14:textFill>
            <w14:solidFill>
              <w14:schemeClr w14:val="tx1"/>
            </w14:solidFill>
          </w14:textFill>
        </w:rPr>
        <w:t>了解如何对人员、流程进行考核；</w:t>
      </w:r>
    </w:p>
    <w:p>
      <w:pPr>
        <w:tabs>
          <w:tab w:val="left" w:pos="-426"/>
          <w:tab w:val="left" w:pos="585"/>
        </w:tabs>
        <w:adjustRightInd w:val="0"/>
        <w:snapToGrid w:val="0"/>
        <w:spacing w:line="400" w:lineRule="exact"/>
        <w:ind w:firstLine="480" w:firstLineChars="20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s="仿宋_GB2312"/>
          <w:bCs/>
          <w:color w:val="000000" w:themeColor="text1"/>
          <w:sz w:val="24"/>
          <w:szCs w:val="28"/>
          <w14:textFill>
            <w14:solidFill>
              <w14:schemeClr w14:val="tx1"/>
            </w14:solidFill>
          </w14:textFill>
        </w:rPr>
        <w:t>5.</w:t>
      </w:r>
      <w:r>
        <w:rPr>
          <w:rFonts w:hint="eastAsia" w:ascii="宋体" w:hAnsi="宋体" w:eastAsia="宋体" w:cs="仿宋_GB2312"/>
          <w:bCs/>
          <w:color w:val="000000" w:themeColor="text1"/>
          <w:sz w:val="24"/>
          <w:szCs w:val="28"/>
          <w14:textFill>
            <w14:solidFill>
              <w14:schemeClr w14:val="tx1"/>
            </w14:solidFill>
          </w14:textFill>
        </w:rPr>
        <w:tab/>
      </w:r>
      <w:r>
        <w:rPr>
          <w:rFonts w:hint="eastAsia" w:ascii="宋体" w:hAnsi="宋体" w:eastAsia="宋体" w:cs="仿宋_GB2312"/>
          <w:bCs/>
          <w:color w:val="000000" w:themeColor="text1"/>
          <w:sz w:val="24"/>
          <w:szCs w:val="28"/>
          <w14:textFill>
            <w14:solidFill>
              <w14:schemeClr w14:val="tx1"/>
            </w14:solidFill>
          </w14:textFill>
        </w:rPr>
        <w:t>理解生命周期中各模块之间的关系；</w:t>
      </w:r>
    </w:p>
    <w:p>
      <w:pPr>
        <w:tabs>
          <w:tab w:val="left" w:pos="-426"/>
          <w:tab w:val="left" w:pos="585"/>
        </w:tabs>
        <w:adjustRightInd w:val="0"/>
        <w:snapToGrid w:val="0"/>
        <w:spacing w:line="400" w:lineRule="exact"/>
        <w:ind w:firstLine="480" w:firstLineChars="20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s="仿宋_GB2312"/>
          <w:bCs/>
          <w:color w:val="000000" w:themeColor="text1"/>
          <w:sz w:val="24"/>
          <w:szCs w:val="28"/>
          <w14:textFill>
            <w14:solidFill>
              <w14:schemeClr w14:val="tx1"/>
            </w14:solidFill>
          </w14:textFill>
        </w:rPr>
        <w:t>6.</w:t>
      </w:r>
      <w:r>
        <w:rPr>
          <w:rFonts w:hint="eastAsia" w:ascii="宋体" w:hAnsi="宋体" w:eastAsia="宋体" w:cs="仿宋_GB2312"/>
          <w:bCs/>
          <w:color w:val="000000" w:themeColor="text1"/>
          <w:sz w:val="24"/>
          <w:szCs w:val="28"/>
          <w14:textFill>
            <w14:solidFill>
              <w14:schemeClr w14:val="tx1"/>
            </w14:solidFill>
          </w14:textFill>
        </w:rPr>
        <w:tab/>
      </w:r>
      <w:r>
        <w:rPr>
          <w:rFonts w:hint="eastAsia" w:ascii="宋体" w:hAnsi="宋体" w:eastAsia="宋体" w:cs="仿宋_GB2312"/>
          <w:bCs/>
          <w:color w:val="000000" w:themeColor="text1"/>
          <w:sz w:val="24"/>
          <w:szCs w:val="28"/>
          <w14:textFill>
            <w14:solidFill>
              <w14:schemeClr w14:val="tx1"/>
            </w14:solidFill>
          </w14:textFill>
        </w:rPr>
        <w:t>掌握常用流程在工作中的意义、流转及运作；</w:t>
      </w:r>
    </w:p>
    <w:p>
      <w:pPr>
        <w:tabs>
          <w:tab w:val="left" w:pos="-426"/>
          <w:tab w:val="left" w:pos="585"/>
        </w:tabs>
        <w:adjustRightInd w:val="0"/>
        <w:snapToGrid w:val="0"/>
        <w:spacing w:line="400" w:lineRule="exact"/>
        <w:ind w:firstLine="480" w:firstLineChars="20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s="仿宋_GB2312"/>
          <w:bCs/>
          <w:color w:val="000000" w:themeColor="text1"/>
          <w:sz w:val="24"/>
          <w:szCs w:val="28"/>
          <w14:textFill>
            <w14:solidFill>
              <w14:schemeClr w14:val="tx1"/>
            </w14:solidFill>
          </w14:textFill>
        </w:rPr>
        <w:t>7.</w:t>
      </w:r>
      <w:r>
        <w:rPr>
          <w:rFonts w:hint="eastAsia" w:ascii="宋体" w:hAnsi="宋体" w:eastAsia="宋体" w:cs="仿宋_GB2312"/>
          <w:bCs/>
          <w:color w:val="000000" w:themeColor="text1"/>
          <w:sz w:val="24"/>
          <w:szCs w:val="28"/>
          <w14:textFill>
            <w14:solidFill>
              <w14:schemeClr w14:val="tx1"/>
            </w14:solidFill>
          </w14:textFill>
        </w:rPr>
        <w:tab/>
      </w:r>
      <w:r>
        <w:rPr>
          <w:rFonts w:hint="eastAsia" w:ascii="宋体" w:hAnsi="宋体" w:eastAsia="宋体" w:cs="仿宋_GB2312"/>
          <w:bCs/>
          <w:color w:val="000000" w:themeColor="text1"/>
          <w:sz w:val="24"/>
          <w:szCs w:val="28"/>
          <w14:textFill>
            <w14:solidFill>
              <w14:schemeClr w14:val="tx1"/>
            </w14:solidFill>
          </w14:textFill>
        </w:rPr>
        <w:t>学会用管理的思维做技术，提升解决实际问题的能力；</w:t>
      </w:r>
    </w:p>
    <w:p>
      <w:pPr>
        <w:tabs>
          <w:tab w:val="left" w:pos="-426"/>
          <w:tab w:val="left" w:pos="585"/>
        </w:tabs>
        <w:adjustRightInd w:val="0"/>
        <w:snapToGrid w:val="0"/>
        <w:spacing w:line="400" w:lineRule="exact"/>
        <w:ind w:firstLine="480" w:firstLineChars="20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s="仿宋_GB2312"/>
          <w:bCs/>
          <w:color w:val="000000" w:themeColor="text1"/>
          <w:sz w:val="24"/>
          <w:szCs w:val="28"/>
          <w14:textFill>
            <w14:solidFill>
              <w14:schemeClr w14:val="tx1"/>
            </w14:solidFill>
          </w14:textFill>
        </w:rPr>
        <w:t>8.</w:t>
      </w:r>
      <w:r>
        <w:rPr>
          <w:rFonts w:hint="eastAsia" w:ascii="宋体" w:hAnsi="宋体" w:eastAsia="宋体" w:cs="仿宋_GB2312"/>
          <w:bCs/>
          <w:color w:val="000000" w:themeColor="text1"/>
          <w:sz w:val="24"/>
          <w:szCs w:val="28"/>
          <w14:textFill>
            <w14:solidFill>
              <w14:schemeClr w14:val="tx1"/>
            </w14:solidFill>
          </w14:textFill>
        </w:rPr>
        <w:tab/>
      </w:r>
      <w:r>
        <w:rPr>
          <w:rFonts w:hint="eastAsia" w:ascii="宋体" w:hAnsi="宋体" w:eastAsia="宋体" w:cs="仿宋_GB2312"/>
          <w:bCs/>
          <w:color w:val="000000" w:themeColor="text1"/>
          <w:sz w:val="24"/>
          <w:szCs w:val="28"/>
          <w14:textFill>
            <w14:solidFill>
              <w14:schemeClr w14:val="tx1"/>
            </w14:solidFill>
          </w14:textFill>
        </w:rPr>
        <w:t>通过ITIL</w:t>
      </w:r>
      <w:r>
        <w:rPr>
          <w:rFonts w:ascii="宋体" w:hAnsi="宋体" w:eastAsia="宋体" w:cs="仿宋_GB2312"/>
          <w:bCs/>
          <w:color w:val="000000" w:themeColor="text1"/>
          <w:sz w:val="24"/>
          <w:szCs w:val="28"/>
          <w14:textFill>
            <w14:solidFill>
              <w14:schemeClr w14:val="tx1"/>
            </w14:solidFill>
          </w14:textFill>
        </w:rPr>
        <w:t xml:space="preserve"> 4</w:t>
      </w:r>
      <w:r>
        <w:rPr>
          <w:rFonts w:hint="eastAsia" w:ascii="宋体" w:hAnsi="宋体" w:eastAsia="宋体" w:cs="仿宋_GB2312"/>
          <w:bCs/>
          <w:color w:val="000000" w:themeColor="text1"/>
          <w:sz w:val="24"/>
          <w:szCs w:val="28"/>
          <w14:textFill>
            <w14:solidFill>
              <w14:schemeClr w14:val="tx1"/>
            </w14:solidFill>
          </w14:textFill>
        </w:rPr>
        <w:t xml:space="preserve"> Foundation考试，获得相应证书。</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ascii="宋体" w:hAnsi="宋体" w:eastAsia="宋体" w:cs="仿宋_GB2312"/>
          <w:b/>
          <w:bCs/>
          <w:color w:val="000000" w:themeColor="text1"/>
          <w:sz w:val="28"/>
          <w:szCs w:val="28"/>
          <w14:textFill>
            <w14:solidFill>
              <w14:schemeClr w14:val="tx1"/>
            </w14:solidFill>
          </w14:textFill>
        </w:rPr>
        <w:t>培训</w:t>
      </w:r>
      <w:r>
        <w:rPr>
          <w:rFonts w:hint="eastAsia" w:ascii="宋体" w:hAnsi="宋体" w:eastAsia="宋体" w:cs="仿宋_GB2312"/>
          <w:b/>
          <w:bCs/>
          <w:color w:val="000000" w:themeColor="text1"/>
          <w:sz w:val="28"/>
          <w:szCs w:val="28"/>
          <w14:textFill>
            <w14:solidFill>
              <w14:schemeClr w14:val="tx1"/>
            </w14:solidFill>
          </w14:textFill>
        </w:rPr>
        <w:t>特色</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1.理论与实际相结合，通过实际项目案例深入浅出的讲解理论知识的实际运用方法；</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2.通过工作中遇到的典型问题进行讨论，帮学员更好的理解所学知识；</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3.课程全过程贯穿实际案例与企业现状剖析；</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4.保障学员一次性100%通过考试，获得对应的证书。</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日程安排</w:t>
      </w:r>
    </w:p>
    <w:tbl>
      <w:tblPr>
        <w:tblStyle w:val="8"/>
        <w:tblW w:w="92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843"/>
        <w:gridCol w:w="5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6" w:type="dxa"/>
            <w:shd w:val="clear" w:color="auto" w:fill="FFE599" w:themeFill="accent4" w:themeFillTint="66"/>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br w:type="page"/>
            </w:r>
            <w:r>
              <w:rPr>
                <w:rFonts w:hint="eastAsia" w:cs="Arial Unicode MS" w:asciiTheme="minorEastAsia" w:hAnsiTheme="minorEastAsia"/>
                <w:b/>
                <w:color w:val="000000" w:themeColor="text1"/>
                <w:sz w:val="24"/>
                <w:szCs w:val="24"/>
                <w14:textFill>
                  <w14:solidFill>
                    <w14:schemeClr w14:val="tx1"/>
                  </w14:solidFill>
                </w14:textFill>
              </w:rPr>
              <w:t>培训时间</w:t>
            </w:r>
          </w:p>
        </w:tc>
        <w:tc>
          <w:tcPr>
            <w:tcW w:w="1843" w:type="dxa"/>
            <w:shd w:val="clear" w:color="auto" w:fill="FFE599" w:themeFill="accent4" w:themeFillTint="66"/>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培训模块</w:t>
            </w:r>
          </w:p>
        </w:tc>
        <w:tc>
          <w:tcPr>
            <w:tcW w:w="5918" w:type="dxa"/>
            <w:shd w:val="clear" w:color="auto" w:fill="FFE599" w:themeFill="accent4" w:themeFillTint="66"/>
            <w:vAlign w:val="center"/>
          </w:tcPr>
          <w:p>
            <w:pPr>
              <w:snapToGrid w:val="0"/>
              <w:jc w:val="center"/>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培训内容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6" w:type="dxa"/>
            <w:shd w:val="clear" w:color="auto" w:fill="FFFFFF"/>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第一天</w:t>
            </w:r>
          </w:p>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上午</w:t>
            </w:r>
          </w:p>
        </w:tc>
        <w:tc>
          <w:tcPr>
            <w:tcW w:w="1843" w:type="dxa"/>
            <w:shd w:val="clear" w:color="auto" w:fill="FFFFFF"/>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IT服务管理概述</w:t>
            </w:r>
          </w:p>
        </w:tc>
        <w:tc>
          <w:tcPr>
            <w:tcW w:w="5918" w:type="dxa"/>
            <w:shd w:val="clear" w:color="auto" w:fill="FFFFFF"/>
            <w:vAlign w:val="center"/>
          </w:tcPr>
          <w:p>
            <w:pPr>
              <w:widowControl/>
              <w:numPr>
                <w:ilvl w:val="0"/>
                <w:numId w:val="3"/>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引论</w:t>
            </w:r>
          </w:p>
          <w:p>
            <w:pPr>
              <w:widowControl/>
              <w:numPr>
                <w:ilvl w:val="0"/>
                <w:numId w:val="3"/>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ITSM中</w:t>
            </w:r>
            <w:r>
              <w:rPr>
                <w:rFonts w:cs="Arial Unicode MS" w:asciiTheme="minorEastAsia" w:hAnsiTheme="minorEastAsia"/>
                <w:b/>
                <w:color w:val="000000" w:themeColor="text1"/>
                <w:sz w:val="24"/>
                <w:szCs w:val="24"/>
                <w14:textFill>
                  <w14:solidFill>
                    <w14:schemeClr w14:val="tx1"/>
                  </w14:solidFill>
                </w14:textFill>
              </w:rPr>
              <w:t>的</w:t>
            </w:r>
            <w:r>
              <w:rPr>
                <w:rFonts w:hint="eastAsia" w:cs="Arial Unicode MS" w:asciiTheme="minorEastAsia" w:hAnsiTheme="minorEastAsia"/>
                <w:b/>
                <w:color w:val="000000" w:themeColor="text1"/>
                <w:sz w:val="24"/>
                <w:szCs w:val="24"/>
                <w14:textFill>
                  <w14:solidFill>
                    <w14:schemeClr w14:val="tx1"/>
                  </w14:solidFill>
                </w14:textFill>
              </w:rPr>
              <w:t>基本概念</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服务的定义和要素；</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服务的分类；</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服务管理的定义及服务管理的4P；</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流程的定义、特性、组成要素；</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流程责任人的含义及职责；</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流程经理的含义及职责；</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流程执行人的含义及职责；</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职能的含义及职责；</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角色的含义及职责；</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流程和职能的关系；</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RACI模型介绍与</w:t>
            </w:r>
            <w:r>
              <w:rPr>
                <w:rFonts w:cs="Arial Unicode MS" w:asciiTheme="minorEastAsia" w:hAnsiTheme="minorEastAsia"/>
                <w:color w:val="000000" w:themeColor="text1"/>
                <w:sz w:val="24"/>
                <w:szCs w:val="24"/>
                <w14:textFill>
                  <w14:solidFill>
                    <w14:schemeClr w14:val="tx1"/>
                  </w14:solidFill>
                </w14:textFill>
              </w:rPr>
              <w:t>实际用途</w:t>
            </w:r>
            <w:r>
              <w:rPr>
                <w:rFonts w:hint="eastAsia" w:cs="Arial Unicode MS" w:asciiTheme="minorEastAsia" w:hAnsiTheme="minorEastAsia"/>
                <w:color w:val="000000" w:themeColor="text1"/>
                <w:sz w:val="24"/>
                <w:szCs w:val="24"/>
                <w14:textFill>
                  <w14:solidFill>
                    <w14:schemeClr w14:val="tx1"/>
                  </w14:solidFill>
                </w14:textFill>
              </w:rPr>
              <w:t>；</w:t>
            </w:r>
          </w:p>
          <w:p>
            <w:pPr>
              <w:widowControl/>
              <w:numPr>
                <w:ilvl w:val="0"/>
                <w:numId w:val="3"/>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企业做ITSM必备</w:t>
            </w:r>
            <w:r>
              <w:rPr>
                <w:rFonts w:cs="Arial Unicode MS" w:asciiTheme="minorEastAsia" w:hAnsiTheme="minorEastAsia"/>
                <w:color w:val="000000" w:themeColor="text1"/>
                <w:sz w:val="24"/>
                <w:szCs w:val="24"/>
                <w14:textFill>
                  <w14:solidFill>
                    <w14:schemeClr w14:val="tx1"/>
                  </w14:solidFill>
                </w14:textFill>
              </w:rPr>
              <w:t>的条件</w:t>
            </w:r>
            <w:r>
              <w:rPr>
                <w:rFonts w:hint="eastAsia" w:cs="Arial Unicode MS" w:asciiTheme="minorEastAsia" w:hAnsiTheme="minorEastAsia"/>
                <w:color w:val="000000" w:themeColor="text1"/>
                <w:sz w:val="24"/>
                <w:szCs w:val="24"/>
                <w14:textFill>
                  <w14:solidFill>
                    <w14:schemeClr w14:val="tx1"/>
                  </w14:solidFill>
                </w14:textFill>
              </w:rPr>
              <w:t>和</w:t>
            </w:r>
            <w:r>
              <w:rPr>
                <w:rFonts w:cs="Arial Unicode MS" w:asciiTheme="minorEastAsia" w:hAnsiTheme="minorEastAsia"/>
                <w:color w:val="000000" w:themeColor="text1"/>
                <w:sz w:val="24"/>
                <w:szCs w:val="24"/>
                <w14:textFill>
                  <w14:solidFill>
                    <w14:schemeClr w14:val="tx1"/>
                  </w14:solidFill>
                </w14:textFill>
              </w:rPr>
              <w:t>因素；</w:t>
            </w:r>
          </w:p>
          <w:p>
            <w:pPr>
              <w:widowControl/>
              <w:numPr>
                <w:ilvl w:val="0"/>
                <w:numId w:val="3"/>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服务生命周期</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ITIL的发展历程及V1、V2、V3的区别；</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服务生命周期的意义；</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服务生命周期各模块的含义及如何保持高效运转；</w:t>
            </w:r>
          </w:p>
          <w:p>
            <w:pPr>
              <w:snapToGrid w:val="0"/>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实战</w:t>
            </w:r>
            <w:r>
              <w:rPr>
                <w:rFonts w:cs="Arial Unicode MS" w:asciiTheme="minorEastAsia" w:hAnsiTheme="minorEastAsia"/>
                <w:color w:val="000000" w:themeColor="text1"/>
                <w:sz w:val="24"/>
                <w:szCs w:val="24"/>
                <w14:textFill>
                  <w14:solidFill>
                    <w14:schemeClr w14:val="tx1"/>
                  </w14:solidFill>
                </w14:textFill>
              </w:rPr>
              <w:t>：</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流程</w:t>
            </w:r>
            <w:r>
              <w:rPr>
                <w:rFonts w:cs="Arial Unicode MS" w:asciiTheme="minorEastAsia" w:hAnsiTheme="minorEastAsia"/>
                <w:color w:val="000000" w:themeColor="text1"/>
                <w:sz w:val="24"/>
                <w:szCs w:val="24"/>
                <w14:textFill>
                  <w14:solidFill>
                    <w14:schemeClr w14:val="tx1"/>
                  </w14:solidFill>
                </w14:textFill>
              </w:rPr>
              <w:t>文档的标准格式及</w:t>
            </w:r>
            <w:r>
              <w:rPr>
                <w:rFonts w:hint="eastAsia" w:cs="Arial Unicode MS" w:asciiTheme="minorEastAsia" w:hAnsiTheme="minorEastAsia"/>
                <w:color w:val="000000" w:themeColor="text1"/>
                <w:sz w:val="24"/>
                <w:szCs w:val="24"/>
                <w14:textFill>
                  <w14:solidFill>
                    <w14:schemeClr w14:val="tx1"/>
                  </w14:solidFill>
                </w14:textFill>
              </w:rPr>
              <w:t>如何</w:t>
            </w:r>
            <w:r>
              <w:rPr>
                <w:rFonts w:cs="Arial Unicode MS" w:asciiTheme="minorEastAsia" w:hAnsiTheme="minorEastAsia"/>
                <w:color w:val="000000" w:themeColor="text1"/>
                <w:sz w:val="24"/>
                <w:szCs w:val="24"/>
                <w14:textFill>
                  <w14:solidFill>
                    <w14:schemeClr w14:val="tx1"/>
                  </w14:solidFill>
                </w14:textFill>
              </w:rPr>
              <w:t>进行流程文档的编写；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6" w:type="dxa"/>
            <w:shd w:val="clear" w:color="auto" w:fill="FFFFFF"/>
            <w:vAlign w:val="center"/>
          </w:tcPr>
          <w:p>
            <w:pPr>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第一天</w:t>
            </w:r>
          </w:p>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下午</w:t>
            </w:r>
          </w:p>
        </w:tc>
        <w:tc>
          <w:tcPr>
            <w:tcW w:w="1843" w:type="dxa"/>
            <w:shd w:val="clear" w:color="auto" w:fill="FFFFFF"/>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到底</w:t>
            </w:r>
            <w:r>
              <w:rPr>
                <w:rFonts w:cs="Arial Unicode MS" w:asciiTheme="minorEastAsia" w:hAnsiTheme="minorEastAsia"/>
                <w:b/>
                <w:color w:val="000000" w:themeColor="text1"/>
                <w:sz w:val="24"/>
                <w:szCs w:val="24"/>
                <w14:textFill>
                  <w14:solidFill>
                    <w14:schemeClr w14:val="tx1"/>
                  </w14:solidFill>
                </w14:textFill>
              </w:rPr>
              <w:t>如何做好</w:t>
            </w:r>
            <w:r>
              <w:rPr>
                <w:rFonts w:hint="eastAsia" w:cs="Arial Unicode MS" w:asciiTheme="minorEastAsia" w:hAnsiTheme="minorEastAsia"/>
                <w:b/>
                <w:color w:val="000000" w:themeColor="text1"/>
                <w:sz w:val="24"/>
                <w:szCs w:val="24"/>
                <w14:textFill>
                  <w14:solidFill>
                    <w14:schemeClr w14:val="tx1"/>
                  </w14:solidFill>
                </w14:textFill>
              </w:rPr>
              <w:t>IT服务管理</w:t>
            </w:r>
            <w:r>
              <w:rPr>
                <w:rFonts w:cs="Arial Unicode MS" w:asciiTheme="minorEastAsia" w:hAnsiTheme="minorEastAsia"/>
                <w:b/>
                <w:color w:val="000000" w:themeColor="text1"/>
                <w:sz w:val="24"/>
                <w:szCs w:val="24"/>
                <w14:textFill>
                  <w14:solidFill>
                    <w14:schemeClr w14:val="tx1"/>
                  </w14:solidFill>
                </w14:textFill>
              </w:rPr>
              <w:t>（</w:t>
            </w:r>
            <w:r>
              <w:rPr>
                <w:rFonts w:hint="eastAsia" w:cs="Arial Unicode MS" w:asciiTheme="minorEastAsia" w:hAnsiTheme="minorEastAsia"/>
                <w:b/>
                <w:color w:val="000000" w:themeColor="text1"/>
                <w:sz w:val="24"/>
                <w:szCs w:val="24"/>
                <w14:textFill>
                  <w14:solidFill>
                    <w14:schemeClr w14:val="tx1"/>
                  </w14:solidFill>
                </w14:textFill>
              </w:rPr>
              <w:t>实战经验</w:t>
            </w:r>
            <w:r>
              <w:rPr>
                <w:rFonts w:cs="Arial Unicode MS" w:asciiTheme="minorEastAsia" w:hAnsiTheme="minorEastAsia"/>
                <w:b/>
                <w:color w:val="000000" w:themeColor="text1"/>
                <w:sz w:val="24"/>
                <w:szCs w:val="24"/>
                <w14:textFill>
                  <w14:solidFill>
                    <w14:schemeClr w14:val="tx1"/>
                  </w14:solidFill>
                </w14:textFill>
              </w:rPr>
              <w:t>分享）</w:t>
            </w:r>
          </w:p>
        </w:tc>
        <w:tc>
          <w:tcPr>
            <w:tcW w:w="5918" w:type="dxa"/>
            <w:shd w:val="clear" w:color="auto" w:fill="FFFFFF"/>
            <w:vAlign w:val="center"/>
          </w:tcPr>
          <w:p>
            <w:pPr>
              <w:widowControl/>
              <w:numPr>
                <w:ilvl w:val="0"/>
                <w:numId w:val="4"/>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做好ITIL的</w:t>
            </w:r>
            <w:r>
              <w:rPr>
                <w:rFonts w:cs="Arial Unicode MS" w:asciiTheme="minorEastAsia" w:hAnsiTheme="minorEastAsia"/>
                <w:b/>
                <w:color w:val="000000" w:themeColor="text1"/>
                <w:sz w:val="24"/>
                <w:szCs w:val="24"/>
                <w14:textFill>
                  <w14:solidFill>
                    <w14:schemeClr w14:val="tx1"/>
                  </w14:solidFill>
                </w14:textFill>
              </w:rPr>
              <w:t>“114”</w:t>
            </w:r>
            <w:r>
              <w:rPr>
                <w:rFonts w:hint="eastAsia" w:cs="Arial Unicode MS" w:asciiTheme="minorEastAsia" w:hAnsiTheme="minorEastAsia"/>
                <w:b/>
                <w:color w:val="000000" w:themeColor="text1"/>
                <w:sz w:val="24"/>
                <w:szCs w:val="24"/>
                <w14:textFill>
                  <w14:solidFill>
                    <w14:schemeClr w14:val="tx1"/>
                  </w14:solidFill>
                </w14:textFill>
              </w:rPr>
              <w:t>方法</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ITSM的</w:t>
            </w:r>
            <w:r>
              <w:rPr>
                <w:rFonts w:cs="Arial Unicode MS" w:asciiTheme="minorEastAsia" w:hAnsiTheme="minorEastAsia"/>
                <w:color w:val="000000" w:themeColor="text1"/>
                <w:sz w:val="24"/>
                <w:szCs w:val="24"/>
                <w14:textFill>
                  <w14:solidFill>
                    <w14:schemeClr w14:val="tx1"/>
                  </w14:solidFill>
                </w14:textFill>
              </w:rPr>
              <w:t>一个核心</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ITSM的</w:t>
            </w:r>
            <w:r>
              <w:rPr>
                <w:rFonts w:cs="Arial Unicode MS" w:asciiTheme="minorEastAsia" w:hAnsiTheme="minorEastAsia"/>
                <w:color w:val="000000" w:themeColor="text1"/>
                <w:sz w:val="24"/>
                <w:szCs w:val="24"/>
                <w14:textFill>
                  <w14:solidFill>
                    <w14:schemeClr w14:val="tx1"/>
                  </w14:solidFill>
                </w14:textFill>
              </w:rPr>
              <w:t>一个终极目标</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cs="Arial Unicode MS" w:asciiTheme="minorEastAsia" w:hAnsiTheme="minorEastAsia"/>
                <w:color w:val="000000" w:themeColor="text1"/>
                <w:sz w:val="24"/>
                <w:szCs w:val="24"/>
                <w14:textFill>
                  <w14:solidFill>
                    <w14:schemeClr w14:val="tx1"/>
                  </w14:solidFill>
                </w14:textFill>
              </w:rPr>
              <w:t>ITSM</w:t>
            </w:r>
            <w:r>
              <w:rPr>
                <w:rFonts w:hint="eastAsia" w:cs="Arial Unicode MS" w:asciiTheme="minorEastAsia" w:hAnsiTheme="minorEastAsia"/>
                <w:color w:val="000000" w:themeColor="text1"/>
                <w:sz w:val="24"/>
                <w:szCs w:val="24"/>
                <w14:textFill>
                  <w14:solidFill>
                    <w14:schemeClr w14:val="tx1"/>
                  </w14:solidFill>
                </w14:textFill>
              </w:rPr>
              <w:t>必做</w:t>
            </w:r>
            <w:r>
              <w:rPr>
                <w:rFonts w:cs="Arial Unicode MS" w:asciiTheme="minorEastAsia" w:hAnsiTheme="minorEastAsia"/>
                <w:color w:val="000000" w:themeColor="text1"/>
                <w:sz w:val="24"/>
                <w:szCs w:val="24"/>
                <w14:textFill>
                  <w14:solidFill>
                    <w14:schemeClr w14:val="tx1"/>
                  </w14:solidFill>
                </w14:textFill>
              </w:rPr>
              <w:t>的四件事情</w:t>
            </w:r>
          </w:p>
          <w:p>
            <w:pPr>
              <w:widowControl/>
              <w:numPr>
                <w:ilvl w:val="0"/>
                <w:numId w:val="4"/>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以</w:t>
            </w:r>
            <w:r>
              <w:rPr>
                <w:rFonts w:cs="Arial Unicode MS" w:asciiTheme="minorEastAsia" w:hAnsiTheme="minorEastAsia"/>
                <w:b/>
                <w:color w:val="000000" w:themeColor="text1"/>
                <w:sz w:val="24"/>
                <w:szCs w:val="24"/>
                <w14:textFill>
                  <w14:solidFill>
                    <w14:schemeClr w14:val="tx1"/>
                  </w14:solidFill>
                </w14:textFill>
              </w:rPr>
              <w:t>实际</w:t>
            </w:r>
            <w:r>
              <w:rPr>
                <w:rFonts w:hint="eastAsia" w:cs="Arial Unicode MS" w:asciiTheme="minorEastAsia" w:hAnsiTheme="minorEastAsia"/>
                <w:b/>
                <w:color w:val="000000" w:themeColor="text1"/>
                <w:sz w:val="24"/>
                <w:szCs w:val="24"/>
                <w14:textFill>
                  <w14:solidFill>
                    <w14:schemeClr w14:val="tx1"/>
                  </w14:solidFill>
                </w14:textFill>
              </w:rPr>
              <w:t>项目</w:t>
            </w:r>
            <w:r>
              <w:rPr>
                <w:rFonts w:cs="Arial Unicode MS" w:asciiTheme="minorEastAsia" w:hAnsiTheme="minorEastAsia"/>
                <w:b/>
                <w:color w:val="000000" w:themeColor="text1"/>
                <w:sz w:val="24"/>
                <w:szCs w:val="24"/>
                <w14:textFill>
                  <w14:solidFill>
                    <w14:schemeClr w14:val="tx1"/>
                  </w14:solidFill>
                </w14:textFill>
              </w:rPr>
              <w:t>为例，解读</w:t>
            </w:r>
            <w:r>
              <w:rPr>
                <w:rFonts w:hint="eastAsia" w:cs="Arial Unicode MS" w:asciiTheme="minorEastAsia" w:hAnsiTheme="minorEastAsia"/>
                <w:b/>
                <w:color w:val="000000" w:themeColor="text1"/>
                <w:sz w:val="24"/>
                <w:szCs w:val="24"/>
                <w14:textFill>
                  <w14:solidFill>
                    <w14:schemeClr w14:val="tx1"/>
                  </w14:solidFill>
                </w14:textFill>
              </w:rPr>
              <w:t>ITSM中</w:t>
            </w:r>
            <w:r>
              <w:rPr>
                <w:rFonts w:cs="Arial Unicode MS" w:asciiTheme="minorEastAsia" w:hAnsiTheme="minorEastAsia"/>
                <w:b/>
                <w:color w:val="000000" w:themeColor="text1"/>
                <w:sz w:val="24"/>
                <w:szCs w:val="24"/>
                <w14:textFill>
                  <w14:solidFill>
                    <w14:schemeClr w14:val="tx1"/>
                  </w14:solidFill>
                </w14:textFill>
              </w:rPr>
              <w:t>如何做好“</w:t>
            </w:r>
            <w:r>
              <w:rPr>
                <w:rFonts w:hint="eastAsia" w:cs="Arial Unicode MS" w:asciiTheme="minorEastAsia" w:hAnsiTheme="minorEastAsia"/>
                <w:b/>
                <w:color w:val="000000" w:themeColor="text1"/>
                <w:sz w:val="24"/>
                <w:szCs w:val="24"/>
                <w14:textFill>
                  <w14:solidFill>
                    <w14:schemeClr w14:val="tx1"/>
                  </w14:solidFill>
                </w14:textFill>
              </w:rPr>
              <w:t>三化</w:t>
            </w:r>
            <w:r>
              <w:rPr>
                <w:rFonts w:cs="Arial Unicode MS" w:asciiTheme="minorEastAsia" w:hAnsiTheme="minorEastAsia"/>
                <w:b/>
                <w:color w:val="000000" w:themeColor="text1"/>
                <w:sz w:val="24"/>
                <w:szCs w:val="24"/>
                <w14:textFill>
                  <w14:solidFill>
                    <w14:schemeClr w14:val="tx1"/>
                  </w14:solidFill>
                </w14:textFill>
              </w:rPr>
              <w:t>三分</w:t>
            </w:r>
            <w:r>
              <w:rPr>
                <w:rFonts w:hint="eastAsia" w:cs="Arial Unicode MS" w:asciiTheme="minorEastAsia" w:hAnsiTheme="minorEastAsia"/>
                <w:b/>
                <w:color w:val="000000" w:themeColor="text1"/>
                <w:sz w:val="24"/>
                <w:szCs w:val="24"/>
                <w14:textFill>
                  <w14:solidFill>
                    <w14:schemeClr w14:val="tx1"/>
                  </w14:solidFill>
                </w14:textFill>
              </w:rPr>
              <w:t>一</w:t>
            </w:r>
            <w:r>
              <w:rPr>
                <w:rFonts w:cs="Arial Unicode MS" w:asciiTheme="minorEastAsia" w:hAnsiTheme="minorEastAsia"/>
                <w:b/>
                <w:color w:val="000000" w:themeColor="text1"/>
                <w:sz w:val="24"/>
                <w:szCs w:val="24"/>
                <w14:textFill>
                  <w14:solidFill>
                    <w14:schemeClr w14:val="tx1"/>
                  </w14:solidFill>
                </w14:textFill>
              </w:rPr>
              <w:t>控制”</w:t>
            </w:r>
          </w:p>
          <w:p>
            <w:pPr>
              <w:widowControl/>
              <w:numPr>
                <w:ilvl w:val="0"/>
                <w:numId w:val="4"/>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以</w:t>
            </w:r>
            <w:r>
              <w:rPr>
                <w:rFonts w:cs="Arial Unicode MS" w:asciiTheme="minorEastAsia" w:hAnsiTheme="minorEastAsia"/>
                <w:b/>
                <w:color w:val="000000" w:themeColor="text1"/>
                <w:sz w:val="24"/>
                <w:szCs w:val="24"/>
                <w14:textFill>
                  <w14:solidFill>
                    <w14:schemeClr w14:val="tx1"/>
                  </w14:solidFill>
                </w14:textFill>
              </w:rPr>
              <w:t>实际工作</w:t>
            </w:r>
            <w:r>
              <w:rPr>
                <w:rFonts w:hint="eastAsia" w:cs="Arial Unicode MS" w:asciiTheme="minorEastAsia" w:hAnsiTheme="minorEastAsia"/>
                <w:b/>
                <w:color w:val="000000" w:themeColor="text1"/>
                <w:sz w:val="24"/>
                <w:szCs w:val="24"/>
                <w14:textFill>
                  <w14:solidFill>
                    <w14:schemeClr w14:val="tx1"/>
                  </w14:solidFill>
                </w14:textFill>
              </w:rPr>
              <w:t>场景</w:t>
            </w:r>
            <w:r>
              <w:rPr>
                <w:rFonts w:cs="Arial Unicode MS" w:asciiTheme="minorEastAsia" w:hAnsiTheme="minorEastAsia"/>
                <w:b/>
                <w:color w:val="000000" w:themeColor="text1"/>
                <w:sz w:val="24"/>
                <w:szCs w:val="24"/>
                <w14:textFill>
                  <w14:solidFill>
                    <w14:schemeClr w14:val="tx1"/>
                  </w14:solidFill>
                </w14:textFill>
              </w:rPr>
              <w:t>解读</w:t>
            </w:r>
            <w:r>
              <w:rPr>
                <w:rFonts w:hint="eastAsia" w:cs="Arial Unicode MS" w:asciiTheme="minorEastAsia" w:hAnsiTheme="minorEastAsia"/>
                <w:b/>
                <w:color w:val="000000" w:themeColor="text1"/>
                <w:sz w:val="24"/>
                <w:szCs w:val="24"/>
                <w14:textFill>
                  <w14:solidFill>
                    <w14:schemeClr w14:val="tx1"/>
                  </w14:solidFill>
                </w14:textFill>
              </w:rPr>
              <w:t>ITSM管理中</w:t>
            </w:r>
            <w:r>
              <w:rPr>
                <w:rFonts w:cs="Arial Unicode MS" w:asciiTheme="minorEastAsia" w:hAnsiTheme="minorEastAsia"/>
                <w:b/>
                <w:color w:val="000000" w:themeColor="text1"/>
                <w:sz w:val="24"/>
                <w:szCs w:val="24"/>
                <w14:textFill>
                  <w14:solidFill>
                    <w14:schemeClr w14:val="tx1"/>
                  </w14:solidFill>
                </w14:textFill>
              </w:rPr>
              <w:t>的标准</w:t>
            </w:r>
            <w:r>
              <w:rPr>
                <w:rFonts w:hint="eastAsia" w:cs="Arial Unicode MS" w:asciiTheme="minorEastAsia" w:hAnsiTheme="minorEastAsia"/>
                <w:b/>
                <w:color w:val="000000" w:themeColor="text1"/>
                <w:sz w:val="24"/>
                <w:szCs w:val="24"/>
                <w14:textFill>
                  <w14:solidFill>
                    <w14:schemeClr w14:val="tx1"/>
                  </w14:solidFill>
                </w14:textFill>
              </w:rPr>
              <w:t>化</w:t>
            </w:r>
            <w:r>
              <w:rPr>
                <w:rFonts w:cs="Arial Unicode MS" w:asciiTheme="minorEastAsia" w:hAnsiTheme="minorEastAsia"/>
                <w:b/>
                <w:color w:val="000000" w:themeColor="text1"/>
                <w:sz w:val="24"/>
                <w:szCs w:val="24"/>
                <w14:textFill>
                  <w14:solidFill>
                    <w14:schemeClr w14:val="tx1"/>
                  </w14:solidFill>
                </w14:textFill>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6" w:type="dxa"/>
            <w:tcBorders>
              <w:top w:val="single" w:color="000000" w:sz="4" w:space="0"/>
              <w:right w:val="single" w:color="000000" w:sz="4" w:space="0"/>
            </w:tcBorders>
            <w:shd w:val="clear" w:color="auto" w:fill="FFFFFF"/>
            <w:vAlign w:val="center"/>
          </w:tcPr>
          <w:p>
            <w:pPr>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第</w:t>
            </w:r>
            <w:r>
              <w:rPr>
                <w:rFonts w:cs="Arial Unicode MS" w:asciiTheme="minorEastAsia" w:hAnsiTheme="minorEastAsia"/>
                <w:b/>
                <w:color w:val="000000" w:themeColor="text1"/>
                <w:sz w:val="24"/>
                <w:szCs w:val="24"/>
                <w14:textFill>
                  <w14:solidFill>
                    <w14:schemeClr w14:val="tx1"/>
                  </w14:solidFill>
                </w14:textFill>
              </w:rPr>
              <w:t>二天</w:t>
            </w:r>
          </w:p>
          <w:p>
            <w:pPr>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上</w:t>
            </w:r>
            <w:r>
              <w:rPr>
                <w:rFonts w:cs="Arial Unicode MS" w:asciiTheme="minorEastAsia" w:hAnsiTheme="minorEastAsia"/>
                <w:b/>
                <w:color w:val="000000" w:themeColor="text1"/>
                <w:sz w:val="24"/>
                <w:szCs w:val="24"/>
                <w14:textFill>
                  <w14:solidFill>
                    <w14:schemeClr w14:val="tx1"/>
                  </w14:solidFill>
                </w14:textFill>
              </w:rPr>
              <w:t>午</w:t>
            </w:r>
          </w:p>
        </w:tc>
        <w:tc>
          <w:tcPr>
            <w:tcW w:w="1843" w:type="dxa"/>
            <w:tcBorders>
              <w:top w:val="single" w:color="000000" w:sz="4" w:space="0"/>
              <w:bottom w:val="single" w:color="000000" w:sz="4" w:space="0"/>
              <w:right w:val="single" w:color="000000" w:sz="4" w:space="0"/>
            </w:tcBorders>
            <w:shd w:val="clear" w:color="auto" w:fill="FFFFFF"/>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服务战略</w:t>
            </w:r>
            <w:r>
              <w:rPr>
                <w:rFonts w:hint="eastAsia" w:cs="Arial Unicode MS" w:asciiTheme="minorEastAsia" w:hAnsiTheme="minorEastAsia"/>
                <w:b/>
                <w:bCs/>
                <w:color w:val="000000" w:themeColor="text1"/>
                <w:sz w:val="24"/>
                <w:szCs w:val="24"/>
                <w14:textFill>
                  <w14:solidFill>
                    <w14:schemeClr w14:val="tx1"/>
                  </w14:solidFill>
                </w14:textFill>
              </w:rPr>
              <w:t>（Service Strategy）</w:t>
            </w:r>
          </w:p>
        </w:tc>
        <w:tc>
          <w:tcPr>
            <w:tcW w:w="5918" w:type="dxa"/>
            <w:tcBorders>
              <w:top w:val="single" w:color="auto" w:sz="4" w:space="0"/>
              <w:left w:val="single" w:color="000000" w:sz="4" w:space="0"/>
              <w:bottom w:val="single" w:color="000000" w:sz="4" w:space="0"/>
              <w:right w:val="single" w:color="000000" w:sz="4" w:space="0"/>
            </w:tcBorders>
            <w:vAlign w:val="center"/>
          </w:tcPr>
          <w:p>
            <w:pPr>
              <w:widowControl/>
              <w:numPr>
                <w:ilvl w:val="0"/>
                <w:numId w:val="4"/>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服务战略概念</w:t>
            </w:r>
          </w:p>
          <w:p>
            <w:pPr>
              <w:widowControl/>
              <w:numPr>
                <w:ilvl w:val="0"/>
                <w:numId w:val="4"/>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服务战略原则</w:t>
            </w:r>
          </w:p>
          <w:p>
            <w:pPr>
              <w:widowControl/>
              <w:numPr>
                <w:ilvl w:val="0"/>
                <w:numId w:val="4"/>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服务战略主要流程</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IT服务的战略管理；</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服务组合管理详解；</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IT服务财务管理；</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需求管理；</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业务关系管理详解；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6" w:type="dxa"/>
            <w:tcBorders>
              <w:top w:val="single" w:color="000000" w:sz="4" w:space="0"/>
              <w:left w:val="single" w:color="000000" w:sz="4" w:space="0"/>
              <w:right w:val="single" w:color="000000" w:sz="4" w:space="0"/>
            </w:tcBorders>
            <w:shd w:val="clear" w:color="auto" w:fill="FFFFFF"/>
            <w:vAlign w:val="center"/>
          </w:tcPr>
          <w:p>
            <w:pPr>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第</w:t>
            </w:r>
            <w:r>
              <w:rPr>
                <w:rFonts w:cs="Arial Unicode MS" w:asciiTheme="minorEastAsia" w:hAnsiTheme="minorEastAsia"/>
                <w:b/>
                <w:color w:val="000000" w:themeColor="text1"/>
                <w:sz w:val="24"/>
                <w:szCs w:val="24"/>
                <w14:textFill>
                  <w14:solidFill>
                    <w14:schemeClr w14:val="tx1"/>
                  </w14:solidFill>
                </w14:textFill>
              </w:rPr>
              <w:t>二天</w:t>
            </w:r>
          </w:p>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cs="Arial Unicode MS" w:asciiTheme="minorEastAsia" w:hAnsiTheme="minorEastAsia"/>
                <w:b/>
                <w:color w:val="000000" w:themeColor="text1"/>
                <w:sz w:val="24"/>
                <w:szCs w:val="24"/>
                <w14:textFill>
                  <w14:solidFill>
                    <w14:schemeClr w14:val="tx1"/>
                  </w14:solidFill>
                </w14:textFill>
              </w:rPr>
              <w:t>下午</w:t>
            </w:r>
          </w:p>
        </w:tc>
        <w:tc>
          <w:tcPr>
            <w:tcW w:w="1843" w:type="dxa"/>
            <w:tcBorders>
              <w:top w:val="single" w:color="000000" w:sz="4" w:space="0"/>
              <w:left w:val="single" w:color="000000" w:sz="4" w:space="0"/>
              <w:right w:val="single" w:color="000000" w:sz="4" w:space="0"/>
            </w:tcBorders>
            <w:shd w:val="clear" w:color="auto" w:fill="FFFFFF"/>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服务设计</w:t>
            </w:r>
            <w:r>
              <w:rPr>
                <w:rFonts w:hint="eastAsia" w:cs="Arial Unicode MS" w:asciiTheme="minorEastAsia" w:hAnsiTheme="minorEastAsia"/>
                <w:b/>
                <w:bCs/>
                <w:color w:val="000000" w:themeColor="text1"/>
                <w:sz w:val="24"/>
                <w:szCs w:val="24"/>
                <w14:textFill>
                  <w14:solidFill>
                    <w14:schemeClr w14:val="tx1"/>
                  </w14:solidFill>
                </w14:textFill>
              </w:rPr>
              <w:t>（Service Design）</w:t>
            </w:r>
          </w:p>
        </w:tc>
        <w:tc>
          <w:tcPr>
            <w:tcW w:w="5918" w:type="dxa"/>
            <w:tcBorders>
              <w:top w:val="single" w:color="000000" w:sz="4" w:space="0"/>
              <w:left w:val="single" w:color="000000" w:sz="4" w:space="0"/>
              <w:right w:val="single" w:color="000000" w:sz="4" w:space="0"/>
            </w:tcBorders>
            <w:vAlign w:val="center"/>
          </w:tcPr>
          <w:p>
            <w:pPr>
              <w:widowControl/>
              <w:numPr>
                <w:ilvl w:val="0"/>
                <w:numId w:val="4"/>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服务设计概述</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服务设计的目的；</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服务设计的范围；</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服务架构；</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服务设计的五个方面；</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服务设计包的含义及作用；</w:t>
            </w:r>
          </w:p>
          <w:p>
            <w:pPr>
              <w:widowControl/>
              <w:numPr>
                <w:ilvl w:val="0"/>
                <w:numId w:val="4"/>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服务设计流程</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设计协调；</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服务目录管理详解；</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服务级别管理详解；</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可用性管理详解；</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容量管理详解；</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IT服务连续性管理详解；</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信息安全管理；</w:t>
            </w:r>
          </w:p>
          <w:p>
            <w:pPr>
              <w:widowControl/>
              <w:numPr>
                <w:ilvl w:val="0"/>
                <w:numId w:val="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供应商管理；</w:t>
            </w:r>
          </w:p>
          <w:p>
            <w:pPr>
              <w:snapToGrid w:val="0"/>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实践环节：</w:t>
            </w:r>
          </w:p>
          <w:p>
            <w:pPr>
              <w:widowControl/>
              <w:numPr>
                <w:ilvl w:val="0"/>
                <w:numId w:val="5"/>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以实际</w:t>
            </w:r>
            <w:r>
              <w:rPr>
                <w:rFonts w:cs="Arial Unicode MS" w:asciiTheme="minorEastAsia" w:hAnsiTheme="minorEastAsia"/>
                <w:b/>
                <w:color w:val="000000" w:themeColor="text1"/>
                <w:sz w:val="24"/>
                <w:szCs w:val="24"/>
                <w14:textFill>
                  <w14:solidFill>
                    <w14:schemeClr w14:val="tx1"/>
                  </w14:solidFill>
                </w14:textFill>
              </w:rPr>
              <w:t>项目</w:t>
            </w:r>
            <w:r>
              <w:rPr>
                <w:rFonts w:hint="eastAsia" w:cs="Arial Unicode MS" w:asciiTheme="minorEastAsia" w:hAnsiTheme="minorEastAsia"/>
                <w:b/>
                <w:color w:val="000000" w:themeColor="text1"/>
                <w:sz w:val="24"/>
                <w:szCs w:val="24"/>
                <w14:textFill>
                  <w14:solidFill>
                    <w14:schemeClr w14:val="tx1"/>
                  </w14:solidFill>
                </w14:textFill>
              </w:rPr>
              <w:t>为例，说明如何做服务目录、服务级别及服务连续性管理；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第三天</w:t>
            </w:r>
          </w:p>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上午</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服务转换（Service Transition）</w:t>
            </w:r>
          </w:p>
        </w:tc>
        <w:tc>
          <w:tcPr>
            <w:tcW w:w="591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服务转换概述</w:t>
            </w:r>
          </w:p>
          <w:p>
            <w:pPr>
              <w:widowControl/>
              <w:numPr>
                <w:ilvl w:val="0"/>
                <w:numId w:val="4"/>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服务转换的主要流程详解</w:t>
            </w:r>
          </w:p>
          <w:p>
            <w:pPr>
              <w:widowControl/>
              <w:numPr>
                <w:ilvl w:val="0"/>
                <w:numId w:val="6"/>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变更管理；</w:t>
            </w:r>
          </w:p>
          <w:p>
            <w:pPr>
              <w:widowControl/>
              <w:numPr>
                <w:ilvl w:val="0"/>
                <w:numId w:val="6"/>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服务资产和配置管理；</w:t>
            </w:r>
          </w:p>
          <w:p>
            <w:pPr>
              <w:widowControl/>
              <w:numPr>
                <w:ilvl w:val="0"/>
                <w:numId w:val="6"/>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发布和部署管理；</w:t>
            </w:r>
          </w:p>
          <w:p>
            <w:pPr>
              <w:widowControl/>
              <w:numPr>
                <w:ilvl w:val="0"/>
                <w:numId w:val="6"/>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知识管理</w:t>
            </w:r>
          </w:p>
          <w:p>
            <w:pPr>
              <w:snapToGrid w:val="0"/>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实践环节：</w:t>
            </w:r>
          </w:p>
          <w:p>
            <w:pPr>
              <w:widowControl/>
              <w:numPr>
                <w:ilvl w:val="0"/>
                <w:numId w:val="7"/>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企业如何进行变更管理；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6" w:type="dxa"/>
            <w:vMerge w:val="restart"/>
            <w:tcBorders>
              <w:top w:val="single" w:color="000000" w:sz="4" w:space="0"/>
              <w:left w:val="single" w:color="000000" w:sz="4" w:space="0"/>
              <w:right w:val="single" w:color="000000" w:sz="4" w:space="0"/>
            </w:tcBorders>
            <w:shd w:val="clear" w:color="auto" w:fill="FFFFFF"/>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第三天</w:t>
            </w:r>
          </w:p>
          <w:p>
            <w:pPr>
              <w:snapToGrid w:val="0"/>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下午</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服务运营</w:t>
            </w:r>
            <w:r>
              <w:rPr>
                <w:rFonts w:hint="eastAsia" w:cs="Arial Unicode MS" w:asciiTheme="minorEastAsia" w:hAnsiTheme="minorEastAsia"/>
                <w:b/>
                <w:bCs/>
                <w:color w:val="000000" w:themeColor="text1"/>
                <w:sz w:val="24"/>
                <w:szCs w:val="24"/>
                <w14:textFill>
                  <w14:solidFill>
                    <w14:schemeClr w14:val="tx1"/>
                  </w14:solidFill>
                </w14:textFill>
              </w:rPr>
              <w:t>（Service Operation）</w:t>
            </w:r>
          </w:p>
        </w:tc>
        <w:tc>
          <w:tcPr>
            <w:tcW w:w="591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概述及基本概念</w:t>
            </w:r>
          </w:p>
          <w:p>
            <w:pPr>
              <w:widowControl/>
              <w:numPr>
                <w:ilvl w:val="0"/>
                <w:numId w:val="9"/>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服务运营的作用；</w:t>
            </w:r>
          </w:p>
          <w:p>
            <w:pPr>
              <w:widowControl/>
              <w:numPr>
                <w:ilvl w:val="0"/>
                <w:numId w:val="9"/>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服务运营的基础；</w:t>
            </w:r>
          </w:p>
          <w:p>
            <w:pPr>
              <w:widowControl/>
              <w:numPr>
                <w:ilvl w:val="0"/>
                <w:numId w:val="9"/>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沟通的重要性及作用；</w:t>
            </w:r>
          </w:p>
          <w:p>
            <w:pPr>
              <w:widowControl/>
              <w:numPr>
                <w:ilvl w:val="0"/>
                <w:numId w:val="9"/>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归档的意义及作用；</w:t>
            </w:r>
          </w:p>
          <w:p>
            <w:pPr>
              <w:widowControl/>
              <w:numPr>
                <w:ilvl w:val="0"/>
                <w:numId w:val="8"/>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服务运营原则</w:t>
            </w:r>
          </w:p>
          <w:p>
            <w:pPr>
              <w:widowControl/>
              <w:numPr>
                <w:ilvl w:val="0"/>
                <w:numId w:val="8"/>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服务运营流程</w:t>
            </w:r>
          </w:p>
          <w:p>
            <w:pPr>
              <w:widowControl/>
              <w:numPr>
                <w:ilvl w:val="0"/>
                <w:numId w:val="10"/>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事件管理；</w:t>
            </w:r>
          </w:p>
          <w:p>
            <w:pPr>
              <w:widowControl/>
              <w:numPr>
                <w:ilvl w:val="0"/>
                <w:numId w:val="10"/>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故障管理；</w:t>
            </w:r>
          </w:p>
          <w:p>
            <w:pPr>
              <w:widowControl/>
              <w:numPr>
                <w:ilvl w:val="0"/>
                <w:numId w:val="10"/>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问题管理：</w:t>
            </w:r>
          </w:p>
          <w:p>
            <w:pPr>
              <w:widowControl/>
              <w:numPr>
                <w:ilvl w:val="0"/>
                <w:numId w:val="10"/>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服务履行；</w:t>
            </w:r>
          </w:p>
          <w:p>
            <w:pPr>
              <w:widowControl/>
              <w:numPr>
                <w:ilvl w:val="0"/>
                <w:numId w:val="10"/>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访问管理；</w:t>
            </w:r>
          </w:p>
          <w:p>
            <w:pPr>
              <w:widowControl/>
              <w:numPr>
                <w:ilvl w:val="0"/>
                <w:numId w:val="8"/>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服务运营的职能及服务台详解</w:t>
            </w:r>
          </w:p>
          <w:p>
            <w:pPr>
              <w:widowControl/>
              <w:numPr>
                <w:ilvl w:val="0"/>
                <w:numId w:val="11"/>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服务台的演进；</w:t>
            </w:r>
          </w:p>
          <w:p>
            <w:pPr>
              <w:widowControl/>
              <w:numPr>
                <w:ilvl w:val="0"/>
                <w:numId w:val="11"/>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服务台的分类；</w:t>
            </w:r>
          </w:p>
          <w:p>
            <w:pPr>
              <w:widowControl/>
              <w:numPr>
                <w:ilvl w:val="0"/>
                <w:numId w:val="11"/>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服务台的效果；</w:t>
            </w:r>
          </w:p>
          <w:p>
            <w:pPr>
              <w:widowControl/>
              <w:numPr>
                <w:ilvl w:val="0"/>
                <w:numId w:val="11"/>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服务台的构建；</w:t>
            </w:r>
          </w:p>
          <w:p>
            <w:pPr>
              <w:widowControl/>
              <w:numPr>
                <w:ilvl w:val="0"/>
                <w:numId w:val="11"/>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通过案例说明如何组件高效服务台及服务台典型问题的解决方法；</w:t>
            </w:r>
          </w:p>
          <w:p>
            <w:pPr>
              <w:snapToGrid w:val="0"/>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项目案例：</w:t>
            </w:r>
          </w:p>
          <w:p>
            <w:pPr>
              <w:snapToGrid w:val="0"/>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以</w:t>
            </w:r>
            <w:r>
              <w:rPr>
                <w:rFonts w:cs="Arial Unicode MS" w:asciiTheme="minorEastAsia" w:hAnsiTheme="minorEastAsia"/>
                <w:b/>
                <w:color w:val="000000" w:themeColor="text1"/>
                <w:sz w:val="24"/>
                <w:szCs w:val="24"/>
                <w14:textFill>
                  <w14:solidFill>
                    <w14:schemeClr w14:val="tx1"/>
                  </w14:solidFill>
                </w14:textFill>
              </w:rPr>
              <w:t>实际项目</w:t>
            </w:r>
            <w:r>
              <w:rPr>
                <w:rFonts w:hint="eastAsia" w:cs="Arial Unicode MS" w:asciiTheme="minorEastAsia" w:hAnsiTheme="minorEastAsia"/>
                <w:b/>
                <w:color w:val="000000" w:themeColor="text1"/>
                <w:sz w:val="24"/>
                <w:szCs w:val="24"/>
                <w14:textFill>
                  <w14:solidFill>
                    <w14:schemeClr w14:val="tx1"/>
                  </w14:solidFill>
                </w14:textFill>
              </w:rPr>
              <w:t>剖析服务台及五大流程如何有效运营；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6" w:type="dxa"/>
            <w:vMerge w:val="continue"/>
            <w:tcBorders>
              <w:left w:val="single" w:color="000000" w:sz="4" w:space="0"/>
              <w:right w:val="single" w:color="000000" w:sz="4" w:space="0"/>
            </w:tcBorders>
            <w:shd w:val="clear" w:color="auto" w:fill="FFFFFF"/>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center"/>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bCs/>
                <w:color w:val="000000" w:themeColor="text1"/>
                <w:sz w:val="24"/>
                <w:szCs w:val="24"/>
                <w14:textFill>
                  <w14:solidFill>
                    <w14:schemeClr w14:val="tx1"/>
                  </w14:solidFill>
                </w14:textFill>
              </w:rPr>
              <w:t>服务持续服务改进（ Continual Service Improvement）</w:t>
            </w:r>
          </w:p>
        </w:tc>
        <w:tc>
          <w:tcPr>
            <w:tcW w:w="591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2"/>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概述与基本概念</w:t>
            </w:r>
          </w:p>
          <w:p>
            <w:pPr>
              <w:widowControl/>
              <w:numPr>
                <w:ilvl w:val="0"/>
                <w:numId w:val="1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CSI目的；</w:t>
            </w:r>
          </w:p>
          <w:p>
            <w:pPr>
              <w:widowControl/>
              <w:numPr>
                <w:ilvl w:val="0"/>
                <w:numId w:val="13"/>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CSI与服务生命周期；</w:t>
            </w:r>
          </w:p>
          <w:p>
            <w:pPr>
              <w:widowControl/>
              <w:numPr>
                <w:ilvl w:val="0"/>
                <w:numId w:val="14"/>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持续服务改进模型；</w:t>
            </w:r>
          </w:p>
          <w:p>
            <w:pPr>
              <w:widowControl/>
              <w:numPr>
                <w:ilvl w:val="0"/>
                <w:numId w:val="14"/>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我们为什么要度量？</w:t>
            </w:r>
          </w:p>
          <w:p>
            <w:pPr>
              <w:widowControl/>
              <w:numPr>
                <w:ilvl w:val="0"/>
                <w:numId w:val="14"/>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CSI衡量指标类型；</w:t>
            </w:r>
          </w:p>
          <w:p>
            <w:pPr>
              <w:widowControl/>
              <w:numPr>
                <w:ilvl w:val="0"/>
                <w:numId w:val="14"/>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基线与CSI登记册；</w:t>
            </w:r>
          </w:p>
          <w:p>
            <w:pPr>
              <w:widowControl/>
              <w:numPr>
                <w:ilvl w:val="0"/>
                <w:numId w:val="12"/>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持续改进流程</w:t>
            </w:r>
          </w:p>
          <w:p>
            <w:pPr>
              <w:widowControl/>
              <w:numPr>
                <w:ilvl w:val="0"/>
                <w:numId w:val="15"/>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流程改进7步法；</w:t>
            </w:r>
          </w:p>
          <w:p>
            <w:pPr>
              <w:widowControl/>
              <w:numPr>
                <w:ilvl w:val="0"/>
                <w:numId w:val="15"/>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CSI的KPI与CSF；</w:t>
            </w:r>
          </w:p>
          <w:p>
            <w:pPr>
              <w:widowControl/>
              <w:numPr>
                <w:ilvl w:val="0"/>
                <w:numId w:val="12"/>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技术及实现</w:t>
            </w:r>
          </w:p>
          <w:p>
            <w:pPr>
              <w:widowControl/>
              <w:numPr>
                <w:ilvl w:val="0"/>
                <w:numId w:val="16"/>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支持CSI活动的工具；</w:t>
            </w:r>
          </w:p>
          <w:p>
            <w:pPr>
              <w:widowControl/>
              <w:numPr>
                <w:ilvl w:val="0"/>
                <w:numId w:val="16"/>
              </w:numPr>
              <w:snapToGrid w:val="0"/>
              <w:jc w:val="left"/>
              <w:rPr>
                <w:rFonts w:cs="Arial Unicode MS" w:asciiTheme="minorEastAsia" w:hAnsiTheme="minorEastAsia"/>
                <w:color w:val="000000" w:themeColor="text1"/>
                <w:sz w:val="24"/>
                <w:szCs w:val="24"/>
                <w14:textFill>
                  <w14:solidFill>
                    <w14:schemeClr w14:val="tx1"/>
                  </w14:solidFill>
                </w14:textFill>
              </w:rPr>
            </w:pPr>
            <w:r>
              <w:rPr>
                <w:rFonts w:hint="eastAsia" w:cs="Arial Unicode MS" w:asciiTheme="minorEastAsia" w:hAnsiTheme="minorEastAsia"/>
                <w:color w:val="000000" w:themeColor="text1"/>
                <w:sz w:val="24"/>
                <w:szCs w:val="24"/>
                <w14:textFill>
                  <w14:solidFill>
                    <w14:schemeClr w14:val="tx1"/>
                  </w14:solidFill>
                </w14:textFill>
              </w:rPr>
              <w:t>PDCA的作用和意义及与持续服务改进的相互关系；</w:t>
            </w:r>
          </w:p>
          <w:p>
            <w:pPr>
              <w:widowControl/>
              <w:numPr>
                <w:ilvl w:val="0"/>
                <w:numId w:val="12"/>
              </w:numPr>
              <w:snapToGrid w:val="0"/>
              <w:jc w:val="left"/>
              <w:rPr>
                <w:rFonts w:cs="Arial Unicode MS" w:asciiTheme="minorEastAsia" w:hAnsiTheme="minorEastAsia"/>
                <w:b/>
                <w:color w:val="000000" w:themeColor="text1"/>
                <w:sz w:val="24"/>
                <w:szCs w:val="24"/>
                <w14:textFill>
                  <w14:solidFill>
                    <w14:schemeClr w14:val="tx1"/>
                  </w14:solidFill>
                </w14:textFill>
              </w:rPr>
            </w:pPr>
            <w:r>
              <w:rPr>
                <w:rFonts w:hint="eastAsia" w:cs="Arial Unicode MS" w:asciiTheme="minorEastAsia" w:hAnsiTheme="minorEastAsia"/>
                <w:b/>
                <w:color w:val="000000" w:themeColor="text1"/>
                <w:sz w:val="24"/>
                <w:szCs w:val="24"/>
                <w14:textFill>
                  <w14:solidFill>
                    <w14:schemeClr w14:val="tx1"/>
                  </w14:solidFill>
                </w14:textFill>
              </w:rPr>
              <w:t>交流与答疑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6" w:type="dxa"/>
            <w:vMerge w:val="continue"/>
            <w:tcBorders>
              <w:left w:val="single" w:color="000000" w:sz="4" w:space="0"/>
              <w:bottom w:val="single" w:color="000000" w:sz="4" w:space="0"/>
              <w:right w:val="single" w:color="000000" w:sz="4" w:space="0"/>
            </w:tcBorders>
            <w:shd w:val="clear" w:color="auto" w:fill="FFFFFF"/>
            <w:vAlign w:val="center"/>
          </w:tcPr>
          <w:p>
            <w:pPr>
              <w:snapToGrid w:val="0"/>
              <w:jc w:val="center"/>
              <w:rPr>
                <w:rFonts w:cs="Arial Unicode MS" w:asciiTheme="minorEastAsia" w:hAnsiTheme="minorEastAsia"/>
                <w:b/>
                <w:color w:val="000000" w:themeColor="text1"/>
                <w:sz w:val="24"/>
                <w:szCs w:val="24"/>
                <w14:textFill>
                  <w14:solidFill>
                    <w14:schemeClr w14:val="tx1"/>
                  </w14:solidFill>
                </w14:textFill>
              </w:rPr>
            </w:pPr>
          </w:p>
        </w:tc>
        <w:tc>
          <w:tcPr>
            <w:tcW w:w="77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rPr>
                <w:rFonts w:cs="Arial Unicode MS" w:asciiTheme="minorEastAsia" w:hAnsiTheme="minorEastAsia"/>
                <w:b/>
                <w:color w:val="000000" w:themeColor="text1"/>
                <w:sz w:val="24"/>
                <w:szCs w:val="24"/>
                <w14:textFill>
                  <w14:solidFill>
                    <w14:schemeClr w14:val="tx1"/>
                  </w14:solidFill>
                </w14:textFill>
              </w:rPr>
            </w:pPr>
            <w:r>
              <w:rPr>
                <w:rFonts w:cs="Arial Unicode MS" w:asciiTheme="minorEastAsia" w:hAnsiTheme="minorEastAsia"/>
                <w:b/>
                <w:bCs/>
                <w:color w:val="000000" w:themeColor="text1"/>
                <w:sz w:val="24"/>
                <w:szCs w:val="24"/>
                <w14:textFill>
                  <w14:solidFill>
                    <w14:schemeClr w14:val="tx1"/>
                  </w14:solidFill>
                </w14:textFill>
              </w:rPr>
              <w:t>认证</w:t>
            </w:r>
            <w:r>
              <w:rPr>
                <w:rFonts w:hint="eastAsia" w:cs="Arial Unicode MS" w:asciiTheme="minorEastAsia" w:hAnsiTheme="minorEastAsia"/>
                <w:b/>
                <w:bCs/>
                <w:color w:val="000000" w:themeColor="text1"/>
                <w:sz w:val="24"/>
                <w:szCs w:val="24"/>
                <w14:textFill>
                  <w14:solidFill>
                    <w14:schemeClr w14:val="tx1"/>
                  </w14:solidFill>
                </w14:textFill>
              </w:rPr>
              <w:t>考试</w:t>
            </w:r>
          </w:p>
        </w:tc>
      </w:tr>
    </w:tbl>
    <w:p>
      <w:pPr>
        <w:adjustRightInd w:val="0"/>
        <w:snapToGrid w:val="0"/>
        <w:spacing w:before="240" w:line="400" w:lineRule="exact"/>
        <w:ind w:left="170"/>
        <w:rPr>
          <w:rFonts w:ascii="宋体" w:hAnsi="宋体" w:eastAsia="宋体" w:cs="仿宋_GB2312"/>
          <w:b/>
          <w:bCs/>
          <w:color w:val="000000" w:themeColor="text1"/>
          <w:sz w:val="28"/>
          <w:szCs w:val="28"/>
          <w14:textFill>
            <w14:solidFill>
              <w14:schemeClr w14:val="tx1"/>
            </w14:solidFill>
          </w14:textFill>
        </w:rPr>
      </w:pP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授课专家</w:t>
      </w:r>
    </w:p>
    <w:p>
      <w:pPr>
        <w:tabs>
          <w:tab w:val="left" w:pos="10080"/>
        </w:tabs>
        <w:adjustRightInd w:val="0"/>
        <w:snapToGrid w:val="0"/>
        <w:spacing w:line="380" w:lineRule="exact"/>
        <w:ind w:right="-82" w:rightChars="-39" w:firstLine="514" w:firstLineChars="200"/>
        <w:rPr>
          <w:rFonts w:ascii="宋体" w:hAnsi="宋体" w:eastAsia="宋体"/>
          <w:color w:val="000000"/>
          <w:spacing w:val="8"/>
          <w:sz w:val="24"/>
          <w:szCs w:val="21"/>
        </w:rPr>
      </w:pPr>
      <w:r>
        <w:rPr>
          <w:rFonts w:hint="eastAsia" w:ascii="宋体" w:hAnsi="宋体" w:eastAsia="宋体"/>
          <w:b/>
          <w:color w:val="000000"/>
          <w:spacing w:val="8"/>
          <w:sz w:val="24"/>
          <w:szCs w:val="21"/>
        </w:rPr>
        <w:t>王老师</w:t>
      </w:r>
      <w:r>
        <w:rPr>
          <w:rFonts w:hint="eastAsia" w:ascii="宋体" w:hAnsi="宋体" w:eastAsia="宋体"/>
          <w:color w:val="000000"/>
          <w:spacing w:val="8"/>
          <w:sz w:val="24"/>
          <w:szCs w:val="21"/>
        </w:rPr>
        <w:t xml:space="preserve">  ITIL讲师（Peoplecert全球认证授权讲师）、PMP，从事多年的IT服务管理工作，拥有丰富的ITIL运维及落地项目经验，曾作为项目经理带领团队为银行、保险公司、军工单位等企业实施ITIL落地项目，讲课风趣幽默，深受学员喜爱和好评。</w:t>
      </w:r>
    </w:p>
    <w:p>
      <w:pPr>
        <w:tabs>
          <w:tab w:val="left" w:pos="10080"/>
        </w:tabs>
        <w:adjustRightInd w:val="0"/>
        <w:snapToGrid w:val="0"/>
        <w:spacing w:line="380" w:lineRule="exact"/>
        <w:ind w:right="-82" w:rightChars="-39" w:firstLine="514" w:firstLineChars="200"/>
        <w:rPr>
          <w:rFonts w:ascii="宋体" w:hAnsi="宋体" w:eastAsia="宋体"/>
          <w:color w:val="000000"/>
          <w:spacing w:val="8"/>
          <w:sz w:val="24"/>
          <w:szCs w:val="21"/>
        </w:rPr>
      </w:pPr>
      <w:r>
        <w:rPr>
          <w:rFonts w:hint="eastAsia" w:ascii="宋体" w:hAnsi="宋体" w:eastAsia="宋体"/>
          <w:b/>
          <w:color w:val="000000"/>
          <w:spacing w:val="8"/>
          <w:sz w:val="24"/>
          <w:szCs w:val="21"/>
        </w:rPr>
        <w:t>王老师</w:t>
      </w:r>
      <w:r>
        <w:rPr>
          <w:rFonts w:hint="eastAsia" w:ascii="宋体" w:hAnsi="宋体" w:eastAsia="宋体"/>
          <w:color w:val="000000"/>
          <w:spacing w:val="8"/>
          <w:sz w:val="24"/>
          <w:szCs w:val="21"/>
        </w:rPr>
        <w:t xml:space="preserve">  计算机硕士，ITIL专家级</w:t>
      </w:r>
      <w:r>
        <w:rPr>
          <w:rFonts w:ascii="宋体" w:hAnsi="宋体" w:eastAsia="宋体"/>
          <w:color w:val="000000"/>
          <w:spacing w:val="8"/>
          <w:sz w:val="24"/>
          <w:szCs w:val="21"/>
        </w:rPr>
        <w:t>讲师</w:t>
      </w:r>
      <w:r>
        <w:rPr>
          <w:rFonts w:hint="eastAsia" w:ascii="宋体" w:hAnsi="宋体" w:eastAsia="宋体"/>
          <w:color w:val="000000"/>
          <w:spacing w:val="8"/>
          <w:sz w:val="24"/>
          <w:szCs w:val="21"/>
        </w:rPr>
        <w:t>（Peoplecert全球认证授权讲师）</w:t>
      </w:r>
      <w:r>
        <w:rPr>
          <w:rFonts w:ascii="宋体" w:hAnsi="宋体" w:eastAsia="宋体"/>
          <w:color w:val="000000"/>
          <w:spacing w:val="8"/>
          <w:sz w:val="24"/>
          <w:szCs w:val="21"/>
        </w:rPr>
        <w:t>，</w:t>
      </w:r>
      <w:r>
        <w:rPr>
          <w:rFonts w:hint="eastAsia" w:ascii="宋体" w:hAnsi="宋体" w:eastAsia="宋体"/>
          <w:color w:val="000000"/>
          <w:spacing w:val="8"/>
          <w:sz w:val="24"/>
          <w:szCs w:val="21"/>
        </w:rPr>
        <w:t>在信息技术领域具有丰富的开发、运维经验，曾在众多项目的开发和实施过程中担任重要角色，并且拥有多年的授课经验。不但拥有知识理论的功底，又有实战与实践的经验，高度的责任感，积极进取，在教育培训中不断的与学员分享与实践，丰富的跨行工作经历练就了其独到的视野及敏锐的洞察力，其超前的观念与专业水平在教学中得到了众多从业人员及团队的好评。</w:t>
      </w:r>
    </w:p>
    <w:p>
      <w:pPr>
        <w:tabs>
          <w:tab w:val="left" w:pos="10080"/>
        </w:tabs>
        <w:adjustRightInd w:val="0"/>
        <w:snapToGrid w:val="0"/>
        <w:spacing w:line="380" w:lineRule="exact"/>
        <w:ind w:right="-82" w:rightChars="-39" w:firstLine="514" w:firstLineChars="200"/>
        <w:rPr>
          <w:rFonts w:ascii="宋体" w:hAnsi="宋体" w:eastAsia="宋体"/>
          <w:color w:val="000000"/>
          <w:spacing w:val="8"/>
          <w:sz w:val="24"/>
          <w:szCs w:val="21"/>
        </w:rPr>
      </w:pPr>
      <w:r>
        <w:rPr>
          <w:rFonts w:hint="eastAsia" w:ascii="宋体" w:hAnsi="宋体" w:eastAsia="宋体"/>
          <w:b/>
          <w:color w:val="000000"/>
          <w:spacing w:val="8"/>
          <w:sz w:val="24"/>
          <w:szCs w:val="21"/>
        </w:rPr>
        <w:t>王老师</w:t>
      </w:r>
      <w:r>
        <w:rPr>
          <w:rFonts w:hint="eastAsia" w:ascii="宋体" w:hAnsi="宋体" w:eastAsia="宋体"/>
          <w:color w:val="000000"/>
          <w:spacing w:val="8"/>
          <w:sz w:val="24"/>
          <w:szCs w:val="21"/>
        </w:rPr>
        <w:t xml:space="preserve">  Peoplecert全球认证授权讲师，有十二年项目管理和IT服务管理咨询专业积累：丰富的项目管理经验，娴熟的职业技能，敏锐市场洞察力；服务于金融、能源、教育、政府等领域，专长于提供IT服务管理（ITIL、ISO20000）、信息安全（ISO27001）、IT项目管理、IT审计咨询服务。</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培训费用</w:t>
      </w:r>
    </w:p>
    <w:p>
      <w:pPr>
        <w:snapToGrid w:val="0"/>
        <w:spacing w:line="400" w:lineRule="exact"/>
        <w:ind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培训费4500元/人（含培训费、场地费、资料费、学习期间午餐），考试认证费</w:t>
      </w:r>
      <w:r>
        <w:rPr>
          <w:rFonts w:ascii="宋体" w:hAnsi="宋体" w:eastAsia="宋体"/>
          <w:color w:val="000000"/>
          <w:spacing w:val="8"/>
          <w:sz w:val="24"/>
          <w:szCs w:val="21"/>
        </w:rPr>
        <w:t>3000</w:t>
      </w:r>
      <w:r>
        <w:rPr>
          <w:rFonts w:hint="eastAsia" w:ascii="宋体" w:hAnsi="宋体" w:eastAsia="宋体"/>
          <w:color w:val="000000"/>
          <w:spacing w:val="8"/>
          <w:sz w:val="24"/>
          <w:szCs w:val="21"/>
        </w:rPr>
        <w:t>元/人，食宿可统一安排，费用自理。</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报名回执（ITIL</w:t>
      </w:r>
      <w:r>
        <w:rPr>
          <w:rFonts w:ascii="宋体" w:hAnsi="宋体" w:eastAsia="宋体" w:cs="仿宋_GB2312"/>
          <w:b/>
          <w:bCs/>
          <w:color w:val="000000" w:themeColor="text1"/>
          <w:sz w:val="28"/>
          <w:szCs w:val="28"/>
          <w14:textFill>
            <w14:solidFill>
              <w14:schemeClr w14:val="tx1"/>
            </w14:solidFill>
          </w14:textFill>
        </w:rPr>
        <w:t xml:space="preserve"> 4</w:t>
      </w:r>
      <w:r>
        <w:rPr>
          <w:rFonts w:hint="eastAsia" w:ascii="宋体" w:hAnsi="宋体" w:eastAsia="宋体" w:cs="仿宋_GB2312"/>
          <w:b/>
          <w:bCs/>
          <w:color w:val="000000" w:themeColor="text1"/>
          <w:sz w:val="28"/>
          <w:szCs w:val="28"/>
          <w14:textFill>
            <w14:solidFill>
              <w14:schemeClr w14:val="tx1"/>
            </w14:solidFill>
          </w14:textFill>
        </w:rPr>
        <w:t xml:space="preserve"> Foundation国际认证）</w:t>
      </w:r>
    </w:p>
    <w:tbl>
      <w:tblPr>
        <w:tblStyle w:val="8"/>
        <w:tblW w:w="10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2218"/>
        <w:gridCol w:w="1559"/>
        <w:gridCol w:w="809"/>
        <w:gridCol w:w="873"/>
        <w:gridCol w:w="1254"/>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exact"/>
          <w:jc w:val="center"/>
        </w:trPr>
        <w:tc>
          <w:tcPr>
            <w:tcW w:w="18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单位名称</w:t>
            </w:r>
          </w:p>
          <w:p>
            <w:pPr>
              <w:snapToGrid w:val="0"/>
              <w:rPr>
                <w:rFonts w:ascii="宋体" w:hAnsi="宋体" w:eastAsia="宋体"/>
                <w:sz w:val="24"/>
                <w:szCs w:val="24"/>
              </w:rPr>
            </w:pPr>
            <w:r>
              <w:rPr>
                <w:rFonts w:hint="eastAsia" w:ascii="宋体" w:hAnsi="宋体" w:eastAsia="宋体"/>
                <w:sz w:val="24"/>
                <w:szCs w:val="24"/>
              </w:rPr>
              <w:t>（开发票</w:t>
            </w:r>
            <w:r>
              <w:rPr>
                <w:rFonts w:ascii="宋体" w:hAnsi="宋体" w:eastAsia="宋体"/>
                <w:sz w:val="24"/>
                <w:szCs w:val="24"/>
              </w:rPr>
              <w:t>名称</w:t>
            </w:r>
            <w:r>
              <w:rPr>
                <w:rFonts w:hint="eastAsia" w:ascii="宋体" w:hAnsi="宋体" w:eastAsia="宋体"/>
                <w:sz w:val="24"/>
                <w:szCs w:val="24"/>
              </w:rPr>
              <w:t>）</w:t>
            </w:r>
          </w:p>
        </w:tc>
        <w:tc>
          <w:tcPr>
            <w:tcW w:w="8408" w:type="dxa"/>
            <w:gridSpan w:val="6"/>
            <w:tcBorders>
              <w:top w:val="single" w:color="auto" w:sz="4" w:space="0"/>
              <w:left w:val="single" w:color="auto" w:sz="4" w:space="0"/>
              <w:bottom w:val="single" w:color="auto" w:sz="4" w:space="0"/>
              <w:right w:val="single" w:color="auto" w:sz="4" w:space="0"/>
            </w:tcBorders>
            <w:vAlign w:val="center"/>
          </w:tcPr>
          <w:p>
            <w:pPr>
              <w:snapToGrid w:val="0"/>
              <w:jc w:val="righ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8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快递地址</w:t>
            </w:r>
          </w:p>
        </w:tc>
        <w:tc>
          <w:tcPr>
            <w:tcW w:w="545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12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邮编</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8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联 系 人</w:t>
            </w:r>
          </w:p>
        </w:tc>
        <w:tc>
          <w:tcPr>
            <w:tcW w:w="37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80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r>
              <w:rPr>
                <w:rFonts w:hint="eastAsia" w:ascii="宋体" w:hAnsi="宋体" w:eastAsia="宋体"/>
                <w:sz w:val="24"/>
                <w:szCs w:val="24"/>
              </w:rPr>
              <w:t>职位</w:t>
            </w:r>
          </w:p>
        </w:tc>
        <w:tc>
          <w:tcPr>
            <w:tcW w:w="8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12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电话</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8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Email</w:t>
            </w:r>
          </w:p>
        </w:tc>
        <w:tc>
          <w:tcPr>
            <w:tcW w:w="37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80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r>
              <w:rPr>
                <w:rFonts w:hint="eastAsia" w:ascii="宋体" w:hAnsi="宋体" w:eastAsia="宋体"/>
                <w:sz w:val="24"/>
                <w:szCs w:val="24"/>
              </w:rPr>
              <w:t>传真</w:t>
            </w:r>
          </w:p>
        </w:tc>
        <w:tc>
          <w:tcPr>
            <w:tcW w:w="382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exact"/>
          <w:jc w:val="center"/>
        </w:trPr>
        <w:tc>
          <w:tcPr>
            <w:tcW w:w="18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学员姓名</w:t>
            </w: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身份证号</w:t>
            </w:r>
          </w:p>
          <w:p>
            <w:pPr>
              <w:snapToGrid w:val="0"/>
              <w:jc w:val="center"/>
              <w:rPr>
                <w:rFonts w:ascii="宋体" w:hAnsi="宋体" w:eastAsia="宋体"/>
                <w:sz w:val="24"/>
                <w:szCs w:val="24"/>
              </w:rPr>
            </w:pPr>
            <w:r>
              <w:rPr>
                <w:rFonts w:hint="eastAsia" w:ascii="宋体" w:hAnsi="宋体" w:eastAsia="宋体"/>
                <w:sz w:val="24"/>
                <w:szCs w:val="24"/>
              </w:rPr>
              <w:t>（做证书使用）</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邮箱</w:t>
            </w:r>
          </w:p>
        </w:tc>
        <w:tc>
          <w:tcPr>
            <w:tcW w:w="168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联系电话</w:t>
            </w:r>
          </w:p>
        </w:tc>
        <w:tc>
          <w:tcPr>
            <w:tcW w:w="125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r>
              <w:rPr>
                <w:rFonts w:hint="eastAsia" w:ascii="宋体" w:hAnsi="宋体" w:eastAsia="宋体"/>
                <w:sz w:val="24"/>
                <w:szCs w:val="24"/>
              </w:rPr>
              <w:t>培训地点</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exact"/>
          <w:jc w:val="center"/>
        </w:trPr>
        <w:tc>
          <w:tcPr>
            <w:tcW w:w="18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8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8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8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8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8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8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8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8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8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1888" w:type="dxa"/>
            <w:vMerge w:val="restart"/>
            <w:tcBorders>
              <w:top w:val="double" w:color="auto" w:sz="4" w:space="0"/>
              <w:left w:val="single" w:color="auto" w:sz="4" w:space="0"/>
              <w:bottom w:val="single" w:color="auto" w:sz="4" w:space="0"/>
              <w:right w:val="doub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汇  款</w:t>
            </w:r>
          </w:p>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方  式</w:t>
            </w:r>
          </w:p>
        </w:tc>
        <w:tc>
          <w:tcPr>
            <w:tcW w:w="6713" w:type="dxa"/>
            <w:gridSpan w:val="5"/>
            <w:tcBorders>
              <w:top w:val="double" w:color="auto" w:sz="4" w:space="0"/>
              <w:left w:val="double" w:color="auto" w:sz="4" w:space="0"/>
              <w:bottom w:val="single" w:color="auto" w:sz="4" w:space="0"/>
              <w:right w:val="double" w:color="auto" w:sz="4" w:space="0"/>
            </w:tcBorders>
            <w:vAlign w:val="center"/>
          </w:tcPr>
          <w:p>
            <w:pPr>
              <w:snapToGrid w:val="0"/>
              <w:spacing w:before="156" w:beforeLines="50" w:line="276" w:lineRule="auto"/>
              <w:rPr>
                <w:rFonts w:ascii="宋体" w:hAnsi="宋体" w:eastAsia="宋体"/>
                <w:sz w:val="24"/>
                <w:szCs w:val="24"/>
              </w:rPr>
            </w:pPr>
            <w:r>
              <w:rPr>
                <w:rFonts w:hint="eastAsia" w:ascii="宋体" w:hAnsi="宋体" w:eastAsia="宋体" w:cs="宋体"/>
                <w:sz w:val="24"/>
                <w:szCs w:val="24"/>
              </w:rPr>
              <w:t>户</w:t>
            </w:r>
            <w:r>
              <w:rPr>
                <w:rFonts w:hint="eastAsia" w:ascii="宋体" w:hAnsi="宋体" w:eastAsia="宋体"/>
                <w:sz w:val="24"/>
                <w:szCs w:val="24"/>
              </w:rPr>
              <w:t xml:space="preserve">  名：北京中培</w:t>
            </w:r>
            <w:r>
              <w:rPr>
                <w:rFonts w:hint="eastAsia" w:ascii="宋体" w:hAnsi="宋体" w:eastAsia="宋体" w:cs="宋体"/>
                <w:sz w:val="24"/>
                <w:szCs w:val="24"/>
              </w:rPr>
              <w:t>伟业</w:t>
            </w:r>
            <w:r>
              <w:rPr>
                <w:rFonts w:hint="eastAsia" w:ascii="宋体" w:hAnsi="宋体" w:eastAsia="宋体" w:cs="Dotum"/>
                <w:sz w:val="24"/>
                <w:szCs w:val="24"/>
              </w:rPr>
              <w:t>管理咨</w:t>
            </w:r>
            <w:r>
              <w:rPr>
                <w:rFonts w:hint="eastAsia" w:ascii="宋体" w:hAnsi="宋体" w:eastAsia="宋体" w:cs="宋体"/>
                <w:sz w:val="24"/>
                <w:szCs w:val="24"/>
              </w:rPr>
              <w:t>询</w:t>
            </w:r>
            <w:r>
              <w:rPr>
                <w:rFonts w:hint="eastAsia" w:ascii="宋体" w:hAnsi="宋体" w:eastAsia="宋体" w:cs="Dotum"/>
                <w:sz w:val="24"/>
                <w:szCs w:val="24"/>
              </w:rPr>
              <w:t>有限公司</w:t>
            </w:r>
          </w:p>
          <w:p>
            <w:pPr>
              <w:snapToGrid w:val="0"/>
              <w:spacing w:line="276" w:lineRule="auto"/>
              <w:rPr>
                <w:rFonts w:ascii="宋体" w:hAnsi="宋体" w:eastAsia="宋体"/>
                <w:sz w:val="24"/>
                <w:szCs w:val="24"/>
              </w:rPr>
            </w:pPr>
            <w:r>
              <w:rPr>
                <w:rFonts w:hint="eastAsia" w:ascii="宋体" w:hAnsi="宋体" w:eastAsia="宋体" w:cs="宋体"/>
                <w:sz w:val="24"/>
                <w:szCs w:val="24"/>
              </w:rPr>
              <w:t>开户</w:t>
            </w:r>
            <w:r>
              <w:rPr>
                <w:rFonts w:hint="eastAsia" w:ascii="宋体" w:hAnsi="宋体" w:eastAsia="宋体" w:cs="Dotum"/>
                <w:sz w:val="24"/>
                <w:szCs w:val="24"/>
              </w:rPr>
              <w:t>行：北京</w:t>
            </w:r>
            <w:r>
              <w:rPr>
                <w:rFonts w:hint="eastAsia" w:ascii="宋体" w:hAnsi="宋体" w:eastAsia="宋体" w:cs="宋体"/>
                <w:sz w:val="24"/>
                <w:szCs w:val="24"/>
              </w:rPr>
              <w:t>农</w:t>
            </w:r>
            <w:r>
              <w:rPr>
                <w:rFonts w:hint="eastAsia" w:ascii="宋体" w:hAnsi="宋体" w:eastAsia="宋体" w:cs="Dotum"/>
                <w:sz w:val="24"/>
                <w:szCs w:val="24"/>
              </w:rPr>
              <w:t>村商</w:t>
            </w:r>
            <w:r>
              <w:rPr>
                <w:rFonts w:hint="eastAsia" w:ascii="宋体" w:hAnsi="宋体" w:eastAsia="宋体" w:cs="宋体"/>
                <w:sz w:val="24"/>
                <w:szCs w:val="24"/>
              </w:rPr>
              <w:t>业银</w:t>
            </w:r>
            <w:r>
              <w:rPr>
                <w:rFonts w:hint="eastAsia" w:ascii="宋体" w:hAnsi="宋体" w:eastAsia="宋体" w:cs="Dotum"/>
                <w:sz w:val="24"/>
                <w:szCs w:val="24"/>
              </w:rPr>
              <w:t>行</w:t>
            </w:r>
            <w:r>
              <w:rPr>
                <w:rFonts w:hint="eastAsia" w:ascii="宋体" w:hAnsi="宋体" w:eastAsia="宋体" w:cs="宋体"/>
                <w:sz w:val="24"/>
                <w:szCs w:val="24"/>
              </w:rPr>
              <w:t>卢沟桥</w:t>
            </w:r>
            <w:r>
              <w:rPr>
                <w:rFonts w:hint="eastAsia" w:ascii="宋体" w:hAnsi="宋体" w:eastAsia="宋体" w:cs="Dotum"/>
                <w:sz w:val="24"/>
                <w:szCs w:val="24"/>
              </w:rPr>
              <w:t>支行</w:t>
            </w:r>
            <w:r>
              <w:rPr>
                <w:rFonts w:hint="eastAsia" w:ascii="宋体" w:hAnsi="宋体" w:eastAsia="宋体" w:cs="宋体"/>
                <w:sz w:val="24"/>
                <w:szCs w:val="24"/>
              </w:rPr>
              <w:t>营业</w:t>
            </w:r>
            <w:r>
              <w:rPr>
                <w:rFonts w:hint="eastAsia" w:ascii="宋体" w:hAnsi="宋体" w:eastAsia="宋体" w:cs="Dotum"/>
                <w:sz w:val="24"/>
                <w:szCs w:val="24"/>
              </w:rPr>
              <w:t>部</w:t>
            </w:r>
          </w:p>
          <w:p>
            <w:pPr>
              <w:snapToGrid w:val="0"/>
              <w:spacing w:line="276" w:lineRule="auto"/>
              <w:rPr>
                <w:rFonts w:ascii="宋体" w:hAnsi="宋体" w:eastAsia="宋体"/>
                <w:sz w:val="24"/>
                <w:szCs w:val="24"/>
              </w:rPr>
            </w:pPr>
            <w:r>
              <w:rPr>
                <w:rFonts w:hint="eastAsia" w:ascii="宋体" w:hAnsi="宋体" w:eastAsia="宋体" w:cs="宋体"/>
                <w:sz w:val="24"/>
                <w:szCs w:val="24"/>
              </w:rPr>
              <w:t>帐</w:t>
            </w:r>
            <w:r>
              <w:rPr>
                <w:rFonts w:hint="eastAsia" w:ascii="宋体" w:hAnsi="宋体" w:eastAsia="宋体"/>
                <w:sz w:val="24"/>
                <w:szCs w:val="24"/>
              </w:rPr>
              <w:t xml:space="preserve">  </w:t>
            </w:r>
            <w:r>
              <w:rPr>
                <w:rFonts w:hint="eastAsia" w:ascii="宋体" w:hAnsi="宋体" w:eastAsia="宋体" w:cs="宋体"/>
                <w:sz w:val="24"/>
                <w:szCs w:val="24"/>
              </w:rPr>
              <w:t>号</w:t>
            </w:r>
            <w:r>
              <w:rPr>
                <w:rFonts w:hint="eastAsia" w:ascii="宋体" w:hAnsi="宋体" w:eastAsia="宋体" w:cs="Dotum"/>
                <w:sz w:val="24"/>
                <w:szCs w:val="24"/>
              </w:rPr>
              <w:t>：</w:t>
            </w:r>
            <w:r>
              <w:rPr>
                <w:rFonts w:hint="eastAsia" w:ascii="宋体" w:hAnsi="宋体" w:eastAsia="宋体"/>
                <w:sz w:val="24"/>
                <w:szCs w:val="24"/>
              </w:rPr>
              <w:t>0203 0101 0300 0033 172</w:t>
            </w:r>
          </w:p>
        </w:tc>
        <w:tc>
          <w:tcPr>
            <w:tcW w:w="1695" w:type="dxa"/>
            <w:vMerge w:val="restart"/>
            <w:tcBorders>
              <w:top w:val="double" w:color="auto" w:sz="4" w:space="0"/>
              <w:left w:val="double" w:color="auto" w:sz="4" w:space="0"/>
              <w:bottom w:val="single" w:color="auto" w:sz="4" w:space="0"/>
              <w:right w:val="single" w:color="auto" w:sz="4" w:space="0"/>
            </w:tcBorders>
            <w:vAlign w:val="center"/>
          </w:tcPr>
          <w:p>
            <w:pPr>
              <w:widowControl/>
              <w:snapToGrid w:val="0"/>
              <w:spacing w:line="360" w:lineRule="auto"/>
              <w:ind w:firstLine="240" w:firstLineChars="100"/>
              <w:rPr>
                <w:rFonts w:ascii="宋体" w:hAnsi="宋体" w:eastAsia="宋体"/>
                <w:color w:val="000000"/>
                <w:sz w:val="24"/>
                <w:szCs w:val="24"/>
              </w:rPr>
            </w:pPr>
            <w:r>
              <w:rPr>
                <w:rFonts w:hint="eastAsia" w:ascii="宋体" w:hAnsi="宋体" w:eastAsia="宋体"/>
                <w:color w:val="000000"/>
                <w:sz w:val="24"/>
                <w:szCs w:val="24"/>
              </w:rPr>
              <w:t>学员签字</w:t>
            </w:r>
          </w:p>
          <w:p>
            <w:pPr>
              <w:widowControl/>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888" w:type="dxa"/>
            <w:vMerge w:val="continue"/>
            <w:tcBorders>
              <w:top w:val="double" w:color="auto" w:sz="4" w:space="0"/>
              <w:left w:val="single" w:color="auto" w:sz="4" w:space="0"/>
              <w:bottom w:val="single" w:color="auto" w:sz="4" w:space="0"/>
              <w:right w:val="double" w:color="auto" w:sz="4" w:space="0"/>
            </w:tcBorders>
            <w:vAlign w:val="center"/>
          </w:tcPr>
          <w:p>
            <w:pPr>
              <w:widowControl/>
              <w:jc w:val="left"/>
              <w:rPr>
                <w:rFonts w:ascii="宋体" w:hAnsi="宋体" w:eastAsia="宋体"/>
                <w:color w:val="000000"/>
                <w:sz w:val="24"/>
                <w:szCs w:val="24"/>
              </w:rPr>
            </w:pPr>
          </w:p>
        </w:tc>
        <w:tc>
          <w:tcPr>
            <w:tcW w:w="6713" w:type="dxa"/>
            <w:gridSpan w:val="5"/>
            <w:tcBorders>
              <w:top w:val="single" w:color="auto" w:sz="4" w:space="0"/>
              <w:left w:val="double" w:color="auto" w:sz="4" w:space="0"/>
              <w:bottom w:val="single" w:color="auto" w:sz="4" w:space="0"/>
              <w:right w:val="double" w:color="auto" w:sz="4" w:space="0"/>
            </w:tcBorders>
            <w:vAlign w:val="center"/>
          </w:tcPr>
          <w:p>
            <w:pPr>
              <w:snapToGrid w:val="0"/>
              <w:spacing w:line="276" w:lineRule="auto"/>
              <w:rPr>
                <w:rFonts w:ascii="宋体" w:hAnsi="宋体" w:eastAsia="宋体"/>
                <w:sz w:val="24"/>
                <w:szCs w:val="24"/>
              </w:rPr>
            </w:pPr>
            <w:r>
              <w:rPr>
                <w:rFonts w:hint="eastAsia" w:ascii="宋体" w:hAnsi="宋体" w:eastAsia="宋体" w:cs="宋体"/>
                <w:sz w:val="24"/>
                <w:szCs w:val="24"/>
              </w:rPr>
              <w:t>户</w:t>
            </w:r>
            <w:r>
              <w:rPr>
                <w:rFonts w:hint="eastAsia" w:ascii="宋体" w:hAnsi="宋体" w:eastAsia="宋体"/>
                <w:sz w:val="24"/>
                <w:szCs w:val="24"/>
              </w:rPr>
              <w:t xml:space="preserve">  名：北京高培</w:t>
            </w:r>
            <w:r>
              <w:rPr>
                <w:rFonts w:hint="eastAsia" w:ascii="宋体" w:hAnsi="宋体" w:eastAsia="宋体" w:cs="宋体"/>
                <w:sz w:val="24"/>
                <w:szCs w:val="24"/>
              </w:rPr>
              <w:t>伟业</w:t>
            </w:r>
            <w:r>
              <w:rPr>
                <w:rFonts w:hint="eastAsia" w:ascii="宋体" w:hAnsi="宋体" w:eastAsia="宋体" w:cs="Dotum"/>
                <w:sz w:val="24"/>
                <w:szCs w:val="24"/>
              </w:rPr>
              <w:t>管理咨</w:t>
            </w:r>
            <w:r>
              <w:rPr>
                <w:rFonts w:hint="eastAsia" w:ascii="宋体" w:hAnsi="宋体" w:eastAsia="宋体" w:cs="宋体"/>
                <w:sz w:val="24"/>
                <w:szCs w:val="24"/>
              </w:rPr>
              <w:t>询</w:t>
            </w:r>
            <w:r>
              <w:rPr>
                <w:rFonts w:hint="eastAsia" w:ascii="宋体" w:hAnsi="宋体" w:eastAsia="宋体" w:cs="Dotum"/>
                <w:sz w:val="24"/>
                <w:szCs w:val="24"/>
              </w:rPr>
              <w:t>有限公司</w:t>
            </w:r>
          </w:p>
          <w:p>
            <w:pPr>
              <w:snapToGrid w:val="0"/>
              <w:spacing w:line="276" w:lineRule="auto"/>
              <w:ind w:left="1200" w:hanging="1200" w:hangingChars="500"/>
              <w:rPr>
                <w:rFonts w:ascii="宋体" w:hAnsi="宋体" w:eastAsia="宋体" w:cs="Dotum"/>
                <w:sz w:val="24"/>
                <w:szCs w:val="24"/>
              </w:rPr>
            </w:pPr>
            <w:r>
              <w:rPr>
                <w:rFonts w:hint="eastAsia" w:ascii="宋体" w:hAnsi="宋体" w:eastAsia="宋体" w:cs="宋体"/>
                <w:sz w:val="24"/>
                <w:szCs w:val="24"/>
              </w:rPr>
              <w:t>开户</w:t>
            </w:r>
            <w:r>
              <w:rPr>
                <w:rFonts w:hint="eastAsia" w:ascii="宋体" w:hAnsi="宋体" w:eastAsia="宋体"/>
                <w:sz w:val="24"/>
                <w:szCs w:val="24"/>
              </w:rPr>
              <w:t>行：中</w:t>
            </w:r>
            <w:r>
              <w:rPr>
                <w:rFonts w:hint="eastAsia" w:ascii="宋体" w:hAnsi="宋体" w:eastAsia="宋体" w:cs="宋体"/>
                <w:sz w:val="24"/>
                <w:szCs w:val="24"/>
              </w:rPr>
              <w:t>国</w:t>
            </w:r>
            <w:r>
              <w:rPr>
                <w:rFonts w:hint="eastAsia" w:ascii="宋体" w:hAnsi="宋体" w:eastAsia="宋体" w:cs="Dotum"/>
                <w:sz w:val="24"/>
                <w:szCs w:val="24"/>
              </w:rPr>
              <w:t>工商</w:t>
            </w:r>
            <w:r>
              <w:rPr>
                <w:rFonts w:hint="eastAsia" w:ascii="宋体" w:hAnsi="宋体" w:eastAsia="宋体" w:cs="宋体"/>
                <w:sz w:val="24"/>
                <w:szCs w:val="24"/>
              </w:rPr>
              <w:t>银</w:t>
            </w:r>
            <w:r>
              <w:rPr>
                <w:rFonts w:hint="eastAsia" w:ascii="宋体" w:hAnsi="宋体" w:eastAsia="宋体" w:cs="Dotum"/>
                <w:sz w:val="24"/>
                <w:szCs w:val="24"/>
              </w:rPr>
              <w:t>行股</w:t>
            </w:r>
            <w:r>
              <w:rPr>
                <w:rFonts w:hint="eastAsia" w:ascii="宋体" w:hAnsi="宋体" w:eastAsia="宋体" w:cs="宋体"/>
                <w:sz w:val="24"/>
                <w:szCs w:val="24"/>
              </w:rPr>
              <w:t>份</w:t>
            </w:r>
            <w:r>
              <w:rPr>
                <w:rFonts w:hint="eastAsia" w:ascii="宋体" w:hAnsi="宋体" w:eastAsia="宋体" w:cs="Dotum"/>
                <w:sz w:val="24"/>
                <w:szCs w:val="24"/>
              </w:rPr>
              <w:t>有限公司北京菜市口支行</w:t>
            </w:r>
          </w:p>
          <w:p>
            <w:pPr>
              <w:snapToGrid w:val="0"/>
              <w:spacing w:line="276" w:lineRule="auto"/>
              <w:rPr>
                <w:rFonts w:ascii="宋体" w:hAnsi="宋体" w:eastAsia="宋体" w:cs="宋体"/>
                <w:sz w:val="24"/>
                <w:szCs w:val="24"/>
              </w:rPr>
            </w:pPr>
            <w:r>
              <w:rPr>
                <w:rFonts w:hint="eastAsia" w:ascii="宋体" w:hAnsi="宋体" w:eastAsia="宋体" w:cs="宋体"/>
                <w:sz w:val="24"/>
                <w:szCs w:val="24"/>
              </w:rPr>
              <w:t>帐</w:t>
            </w:r>
            <w:r>
              <w:rPr>
                <w:rFonts w:hint="eastAsia" w:ascii="宋体" w:hAnsi="宋体" w:eastAsia="宋体"/>
                <w:sz w:val="24"/>
                <w:szCs w:val="24"/>
              </w:rPr>
              <w:t xml:space="preserve">  </w:t>
            </w:r>
            <w:r>
              <w:rPr>
                <w:rFonts w:hint="eastAsia" w:ascii="宋体" w:hAnsi="宋体" w:eastAsia="宋体" w:cs="宋体"/>
                <w:sz w:val="24"/>
                <w:szCs w:val="24"/>
              </w:rPr>
              <w:t>号</w:t>
            </w:r>
            <w:r>
              <w:rPr>
                <w:rFonts w:hint="eastAsia" w:ascii="宋体" w:hAnsi="宋体" w:eastAsia="宋体" w:cs="Dotum"/>
                <w:sz w:val="24"/>
                <w:szCs w:val="24"/>
              </w:rPr>
              <w:t>：</w:t>
            </w:r>
            <w:r>
              <w:rPr>
                <w:rFonts w:hint="eastAsia" w:ascii="宋体" w:hAnsi="宋体" w:eastAsia="宋体"/>
                <w:sz w:val="24"/>
                <w:szCs w:val="24"/>
              </w:rPr>
              <w:t>0200 0018 0920 0152 881</w:t>
            </w:r>
          </w:p>
        </w:tc>
        <w:tc>
          <w:tcPr>
            <w:tcW w:w="1695" w:type="dxa"/>
            <w:vMerge w:val="continue"/>
            <w:tcBorders>
              <w:top w:val="doub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olor w:val="000000"/>
                <w:sz w:val="24"/>
                <w:szCs w:val="24"/>
              </w:rPr>
            </w:pPr>
          </w:p>
        </w:tc>
      </w:tr>
    </w:tbl>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ascii="宋体" w:hAnsi="宋体" w:eastAsia="宋体"/>
          <w:color w:val="000000" w:themeColor="text1"/>
          <w:sz w:val="24"/>
          <w:szCs w:val="21"/>
          <w14:textFill>
            <w14:solidFill>
              <w14:schemeClr w14:val="tx1"/>
            </w14:solidFill>
          </w14:textFill>
        </w:rPr>
        <w:drawing>
          <wp:anchor distT="0" distB="0" distL="114300" distR="114300" simplePos="0" relativeHeight="251657216" behindDoc="0" locked="0" layoutInCell="1" allowOverlap="1">
            <wp:simplePos x="0" y="0"/>
            <wp:positionH relativeFrom="column">
              <wp:posOffset>4648200</wp:posOffset>
            </wp:positionH>
            <wp:positionV relativeFrom="paragraph">
              <wp:posOffset>223520</wp:posOffset>
            </wp:positionV>
            <wp:extent cx="1623060" cy="187198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r>
        <w:rPr>
          <w:rFonts w:hint="eastAsia" w:ascii="宋体" w:hAnsi="宋体" w:eastAsia="宋体" w:cs="仿宋_GB2312"/>
          <w:b/>
          <w:bCs/>
          <w:color w:val="000000" w:themeColor="text1"/>
          <w:sz w:val="28"/>
          <w:szCs w:val="28"/>
          <w14:textFill>
            <w14:solidFill>
              <w14:schemeClr w14:val="tx1"/>
            </w14:solidFill>
          </w14:textFill>
        </w:rPr>
        <w:t>联系方式</w:t>
      </w:r>
    </w:p>
    <w:p>
      <w:pPr>
        <w:adjustRightInd w:val="0"/>
        <w:snapToGrid w:val="0"/>
        <w:spacing w:line="400" w:lineRule="exact"/>
        <w:ind w:left="1" w:firstLine="139" w:firstLineChars="58"/>
        <w:rPr>
          <w:rFonts w:ascii="宋体" w:hAnsi="宋体" w:eastAsia="宋体"/>
          <w:color w:val="000000" w:themeColor="text1"/>
          <w:sz w:val="24"/>
          <w:szCs w:val="21"/>
          <w14:textFill>
            <w14:solidFill>
              <w14:schemeClr w14:val="tx1"/>
            </w14:solidFill>
          </w14:textFill>
        </w:rPr>
      </w:pPr>
      <w:r>
        <w:rPr>
          <w:rFonts w:hint="eastAsia" w:ascii="宋体" w:hAnsi="宋体" w:eastAsia="宋体"/>
          <w:color w:val="000000" w:themeColor="text1"/>
          <w:sz w:val="24"/>
          <w:szCs w:val="21"/>
          <w14:textFill>
            <w14:solidFill>
              <w14:schemeClr w14:val="tx1"/>
            </w14:solidFill>
          </w14:textFill>
        </w:rPr>
        <w:t>联系人：</w:t>
      </w:r>
      <w:r>
        <w:rPr>
          <w:rFonts w:hint="eastAsia" w:ascii="宋体" w:hAnsi="宋体" w:eastAsia="宋体"/>
          <w:color w:val="000000" w:themeColor="text1"/>
          <w:sz w:val="24"/>
          <w:szCs w:val="21"/>
          <w:lang w:eastAsia="zh-CN"/>
          <w14:textFill>
            <w14:solidFill>
              <w14:schemeClr w14:val="tx1"/>
            </w14:solidFill>
          </w14:textFill>
        </w:rPr>
        <w:t>倪闯</w:t>
      </w:r>
      <w:r>
        <w:rPr>
          <w:rFonts w:ascii="宋体" w:hAnsi="宋体" w:eastAsia="宋体"/>
          <w:color w:val="000000" w:themeColor="text1"/>
          <w:sz w:val="24"/>
          <w:szCs w:val="21"/>
          <w14:textFill>
            <w14:solidFill>
              <w14:schemeClr w14:val="tx1"/>
            </w14:solidFill>
          </w14:textFill>
        </w:rPr>
        <w:t xml:space="preserve">  </w:t>
      </w:r>
    </w:p>
    <w:p>
      <w:pPr>
        <w:adjustRightInd w:val="0"/>
        <w:snapToGrid w:val="0"/>
        <w:spacing w:line="400" w:lineRule="exact"/>
        <w:ind w:left="1" w:firstLine="139" w:firstLineChars="58"/>
        <w:rPr>
          <w:rFonts w:ascii="宋体" w:hAnsi="宋体" w:eastAsia="宋体"/>
          <w:color w:val="000000" w:themeColor="text1"/>
          <w:sz w:val="24"/>
          <w:szCs w:val="21"/>
          <w14:textFill>
            <w14:solidFill>
              <w14:schemeClr w14:val="tx1"/>
            </w14:solidFill>
          </w14:textFill>
        </w:rPr>
      </w:pPr>
      <w:r>
        <w:rPr>
          <w:rFonts w:ascii="宋体" w:hAnsi="宋体" w:eastAsia="宋体"/>
          <w:color w:val="000000" w:themeColor="text1"/>
          <w:sz w:val="24"/>
          <w:szCs w:val="21"/>
          <w14:textFill>
            <w14:solidFill>
              <w14:schemeClr w14:val="tx1"/>
            </w14:solidFill>
          </w14:textFill>
        </w:rPr>
        <w:t>QQ</w:t>
      </w:r>
      <w:r>
        <w:rPr>
          <w:rFonts w:hint="eastAsia" w:ascii="宋体" w:hAnsi="宋体" w:eastAsia="宋体"/>
          <w:color w:val="000000" w:themeColor="text1"/>
          <w:sz w:val="24"/>
          <w:szCs w:val="21"/>
          <w14:textFill>
            <w14:solidFill>
              <w14:schemeClr w14:val="tx1"/>
            </w14:solidFill>
          </w14:textFill>
        </w:rPr>
        <w:t>：</w:t>
      </w:r>
      <w:r>
        <w:rPr>
          <w:rFonts w:hint="eastAsia" w:ascii="宋体" w:hAnsi="宋体" w:eastAsia="宋体"/>
          <w:color w:val="000000" w:themeColor="text1"/>
          <w:sz w:val="24"/>
          <w:szCs w:val="21"/>
          <w:lang w:val="en-US" w:eastAsia="zh-CN"/>
          <w14:textFill>
            <w14:solidFill>
              <w14:schemeClr w14:val="tx1"/>
            </w14:solidFill>
          </w14:textFill>
        </w:rPr>
        <w:t>1658122838</w:t>
      </w:r>
      <w:r>
        <w:rPr>
          <w:rFonts w:ascii="宋体" w:hAnsi="宋体" w:eastAsia="宋体"/>
          <w:color w:val="000000" w:themeColor="text1"/>
          <w:sz w:val="24"/>
          <w:szCs w:val="21"/>
          <w14:textFill>
            <w14:solidFill>
              <w14:schemeClr w14:val="tx1"/>
            </w14:solidFill>
          </w14:textFill>
        </w:rPr>
        <w:t xml:space="preserve"> </w:t>
      </w:r>
    </w:p>
    <w:p>
      <w:pPr>
        <w:adjustRightInd w:val="0"/>
        <w:snapToGrid w:val="0"/>
        <w:spacing w:line="400" w:lineRule="exact"/>
        <w:ind w:left="1" w:firstLine="139" w:firstLineChars="58"/>
        <w:rPr>
          <w:rFonts w:ascii="宋体" w:hAnsi="宋体" w:eastAsia="宋体"/>
          <w:color w:val="000000" w:themeColor="text1"/>
          <w:sz w:val="24"/>
          <w:szCs w:val="21"/>
          <w14:textFill>
            <w14:solidFill>
              <w14:schemeClr w14:val="tx1"/>
            </w14:solidFill>
          </w14:textFill>
        </w:rPr>
      </w:pPr>
      <w:r>
        <w:rPr>
          <w:rFonts w:hint="eastAsia" w:ascii="宋体" w:hAnsi="宋体" w:eastAsia="宋体"/>
          <w:color w:val="000000" w:themeColor="text1"/>
          <w:sz w:val="24"/>
          <w:szCs w:val="21"/>
          <w14:textFill>
            <w14:solidFill>
              <w14:schemeClr w14:val="tx1"/>
            </w14:solidFill>
          </w14:textFill>
        </w:rPr>
        <w:t>手</w:t>
      </w:r>
      <w:r>
        <w:rPr>
          <w:rFonts w:ascii="宋体" w:hAnsi="宋体" w:eastAsia="宋体"/>
          <w:color w:val="000000" w:themeColor="text1"/>
          <w:sz w:val="24"/>
          <w:szCs w:val="21"/>
          <w14:textFill>
            <w14:solidFill>
              <w14:schemeClr w14:val="tx1"/>
            </w14:solidFill>
          </w14:textFill>
        </w:rPr>
        <w:t xml:space="preserve">  </w:t>
      </w:r>
      <w:r>
        <w:rPr>
          <w:rFonts w:hint="eastAsia" w:ascii="宋体" w:hAnsi="宋体" w:eastAsia="宋体"/>
          <w:color w:val="000000" w:themeColor="text1"/>
          <w:sz w:val="24"/>
          <w:szCs w:val="21"/>
          <w14:textFill>
            <w14:solidFill>
              <w14:schemeClr w14:val="tx1"/>
            </w14:solidFill>
          </w14:textFill>
        </w:rPr>
        <w:t>机</w:t>
      </w:r>
      <w:r>
        <w:rPr>
          <w:rFonts w:hint="eastAsia" w:ascii="宋体" w:hAnsi="宋体" w:eastAsia="宋体"/>
          <w:color w:val="000000" w:themeColor="text1"/>
          <w:sz w:val="24"/>
          <w:szCs w:val="21"/>
          <w:lang w:eastAsia="zh-CN"/>
          <w14:textFill>
            <w14:solidFill>
              <w14:schemeClr w14:val="tx1"/>
            </w14:solidFill>
          </w14:textFill>
        </w:rPr>
        <w:t>（微信）</w:t>
      </w:r>
      <w:r>
        <w:rPr>
          <w:rFonts w:hint="eastAsia" w:ascii="宋体" w:hAnsi="宋体" w:eastAsia="宋体"/>
          <w:color w:val="000000" w:themeColor="text1"/>
          <w:sz w:val="24"/>
          <w:szCs w:val="21"/>
          <w14:textFill>
            <w14:solidFill>
              <w14:schemeClr w14:val="tx1"/>
            </w14:solidFill>
          </w14:textFill>
        </w:rPr>
        <w:t>：</w:t>
      </w:r>
      <w:r>
        <w:rPr>
          <w:rFonts w:hint="eastAsia" w:ascii="宋体" w:hAnsi="宋体" w:eastAsia="宋体"/>
          <w:color w:val="000000" w:themeColor="text1"/>
          <w:sz w:val="24"/>
          <w:szCs w:val="21"/>
          <w:lang w:val="en-US" w:eastAsia="zh-CN"/>
          <w14:textFill>
            <w14:solidFill>
              <w14:schemeClr w14:val="tx1"/>
            </w14:solidFill>
          </w14:textFill>
        </w:rPr>
        <w:t>18701378400</w:t>
      </w:r>
      <w:r>
        <w:rPr>
          <w:rFonts w:ascii="宋体" w:hAnsi="宋体" w:eastAsia="宋体"/>
          <w:color w:val="000000" w:themeColor="text1"/>
          <w:sz w:val="24"/>
          <w:szCs w:val="21"/>
          <w14:textFill>
            <w14:solidFill>
              <w14:schemeClr w14:val="tx1"/>
            </w14:solidFill>
          </w14:textFill>
        </w:rPr>
        <w:t xml:space="preserve">  </w:t>
      </w:r>
    </w:p>
    <w:p>
      <w:pPr>
        <w:adjustRightInd w:val="0"/>
        <w:snapToGrid w:val="0"/>
        <w:spacing w:line="400" w:lineRule="exact"/>
        <w:ind w:left="1" w:firstLine="139" w:firstLineChars="58"/>
        <w:rPr>
          <w:rFonts w:hint="eastAsia" w:ascii="宋体" w:hAnsi="宋体" w:eastAsia="宋体"/>
          <w:color w:val="000000" w:themeColor="text1"/>
          <w:sz w:val="24"/>
          <w:szCs w:val="21"/>
          <w:lang w:val="en-US" w:eastAsia="zh-CN"/>
          <w14:textFill>
            <w14:solidFill>
              <w14:schemeClr w14:val="tx1"/>
            </w14:solidFill>
          </w14:textFill>
        </w:rPr>
      </w:pPr>
      <w:r>
        <w:rPr>
          <w:rFonts w:ascii="宋体" w:hAnsi="宋体" w:eastAsia="宋体"/>
          <w:color w:val="000000" w:themeColor="text1"/>
          <w:sz w:val="24"/>
          <w:szCs w:val="21"/>
          <w14:textFill>
            <w14:solidFill>
              <w14:schemeClr w14:val="tx1"/>
            </w14:solidFill>
          </w14:textFill>
        </w:rPr>
        <w:t xml:space="preserve">Email </w:t>
      </w:r>
      <w:r>
        <w:rPr>
          <w:rFonts w:hint="eastAsia" w:ascii="宋体" w:hAnsi="宋体" w:eastAsia="宋体"/>
          <w:color w:val="000000" w:themeColor="text1"/>
          <w:sz w:val="24"/>
          <w:szCs w:val="21"/>
          <w14:textFill>
            <w14:solidFill>
              <w14:schemeClr w14:val="tx1"/>
            </w14:solidFill>
          </w14:textFill>
        </w:rPr>
        <w:t>：</w:t>
      </w:r>
      <w:r>
        <w:rPr>
          <w:rFonts w:hint="eastAsia" w:ascii="宋体" w:hAnsi="宋体" w:eastAsia="宋体"/>
          <w:color w:val="000000" w:themeColor="text1"/>
          <w:sz w:val="24"/>
          <w:szCs w:val="21"/>
          <w:lang w:val="en-US" w:eastAsia="zh-CN"/>
          <w14:textFill>
            <w14:solidFill>
              <w14:schemeClr w14:val="tx1"/>
            </w14:solidFill>
          </w14:textFill>
        </w:rPr>
        <w:t>nichuang@zpedu.com</w:t>
      </w:r>
    </w:p>
    <w:p>
      <w:pPr>
        <w:adjustRightInd w:val="0"/>
        <w:snapToGrid w:val="0"/>
        <w:spacing w:line="400" w:lineRule="exact"/>
        <w:ind w:left="1" w:firstLine="139" w:firstLineChars="58"/>
        <w:rPr>
          <w:rFonts w:ascii="宋体" w:hAnsi="宋体" w:eastAsia="宋体"/>
          <w:b/>
          <w:color w:val="000000" w:themeColor="text1"/>
          <w:szCs w:val="21"/>
          <w14:textFill>
            <w14:solidFill>
              <w14:schemeClr w14:val="tx1"/>
            </w14:solidFill>
          </w14:textFill>
        </w:rPr>
      </w:pPr>
      <w:r>
        <w:rPr>
          <w:rFonts w:hint="eastAsia" w:ascii="宋体" w:hAnsi="宋体" w:eastAsia="宋体"/>
          <w:color w:val="000000" w:themeColor="text1"/>
          <w:sz w:val="24"/>
          <w:szCs w:val="21"/>
          <w14:textFill>
            <w14:solidFill>
              <w14:schemeClr w14:val="tx1"/>
            </w14:solidFill>
          </w14:textFill>
        </w:rPr>
        <w:t>网</w:t>
      </w:r>
      <w:r>
        <w:rPr>
          <w:rFonts w:ascii="宋体" w:hAnsi="宋体" w:eastAsia="宋体"/>
          <w:color w:val="000000" w:themeColor="text1"/>
          <w:sz w:val="24"/>
          <w:szCs w:val="21"/>
          <w14:textFill>
            <w14:solidFill>
              <w14:schemeClr w14:val="tx1"/>
            </w14:solidFill>
          </w14:textFill>
        </w:rPr>
        <w:t xml:space="preserve">  </w:t>
      </w:r>
      <w:r>
        <w:rPr>
          <w:rFonts w:hint="eastAsia" w:ascii="宋体" w:hAnsi="宋体" w:eastAsia="宋体"/>
          <w:color w:val="000000" w:themeColor="text1"/>
          <w:sz w:val="24"/>
          <w:szCs w:val="21"/>
          <w14:textFill>
            <w14:solidFill>
              <w14:schemeClr w14:val="tx1"/>
            </w14:solidFill>
          </w14:textFill>
        </w:rPr>
        <w:t>址：</w:t>
      </w:r>
      <w:r>
        <w:rPr>
          <w:rFonts w:ascii="宋体" w:hAnsi="宋体" w:eastAsia="宋体" w:cs="Times New Roman"/>
          <w:color w:val="000000" w:themeColor="text1"/>
          <w:sz w:val="24"/>
          <w:szCs w:val="21"/>
          <w14:textFill>
            <w14:solidFill>
              <w14:schemeClr w14:val="tx1"/>
            </w14:solidFill>
          </w14:textFill>
        </w:rPr>
        <w:t>www.</w:t>
      </w:r>
      <w:r>
        <w:rPr>
          <w:rFonts w:hint="eastAsia" w:ascii="宋体" w:hAnsi="宋体" w:eastAsia="宋体" w:cs="Times New Roman"/>
          <w:color w:val="000000" w:themeColor="text1"/>
          <w:sz w:val="24"/>
          <w:szCs w:val="21"/>
          <w:lang w:val="en-US" w:eastAsia="zh-CN"/>
          <w14:textFill>
            <w14:solidFill>
              <w14:schemeClr w14:val="tx1"/>
            </w14:solidFill>
          </w14:textFill>
        </w:rPr>
        <w:t>aq</w:t>
      </w:r>
      <w:r>
        <w:rPr>
          <w:rFonts w:ascii="宋体" w:hAnsi="宋体" w:eastAsia="宋体" w:cs="Times New Roman"/>
          <w:color w:val="000000" w:themeColor="text1"/>
          <w:sz w:val="24"/>
          <w:szCs w:val="21"/>
          <w14:textFill>
            <w14:solidFill>
              <w14:schemeClr w14:val="tx1"/>
            </w14:solidFill>
          </w14:textFill>
        </w:rPr>
        <w:t>zpedu.com</w:t>
      </w:r>
      <w:r>
        <w:rPr>
          <w:rFonts w:ascii="宋体" w:hAnsi="宋体" w:eastAsia="宋体"/>
          <w:color w:val="000000" w:themeColor="text1"/>
          <w:sz w:val="24"/>
          <w:szCs w:val="21"/>
          <w14:textFill>
            <w14:solidFill>
              <w14:schemeClr w14:val="tx1"/>
            </w14:solidFill>
          </w14:textFill>
        </w:rPr>
        <w:t xml:space="preserve">                                       </w:t>
      </w:r>
      <w:r>
        <w:rPr>
          <w:rFonts w:hint="eastAsia" w:ascii="宋体" w:hAnsi="宋体" w:eastAsia="宋体"/>
          <w:color w:val="000000" w:themeColor="text1"/>
          <w:sz w:val="24"/>
          <w:szCs w:val="21"/>
          <w14:textFill>
            <w14:solidFill>
              <w14:schemeClr w14:val="tx1"/>
            </w14:solidFill>
          </w14:textFill>
        </w:rPr>
        <w:t>二零一九年一月一日</w:t>
      </w:r>
    </w:p>
    <w:p>
      <w:pPr>
        <w:adjustRightInd w:val="0"/>
        <w:snapToGrid w:val="0"/>
        <w:spacing w:line="400" w:lineRule="exact"/>
        <w:ind w:right="359" w:rightChars="171"/>
        <w:rPr>
          <w:rFonts w:ascii="宋体" w:hAnsi="宋体" w:eastAsia="宋体"/>
          <w:color w:val="000000" w:themeColor="text1"/>
          <w:sz w:val="24"/>
          <w:szCs w:val="24"/>
          <w14:textFill>
            <w14:solidFill>
              <w14:schemeClr w14:val="tx1"/>
            </w14:solidFill>
          </w14:textFill>
        </w:rPr>
      </w:pPr>
    </w:p>
    <w:sectPr>
      <w:headerReference r:id="rId3" w:type="default"/>
      <w:pgSz w:w="11906" w:h="16838"/>
      <w:pgMar w:top="1418"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Dotum">
    <w:panose1 w:val="020B0600000101010101"/>
    <w:charset w:val="81"/>
    <w:family w:val="swiss"/>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left="-838" w:leftChars="-404" w:hanging="10" w:firstLineChars="0"/>
      <w:jc w:val="right"/>
      <w:rPr>
        <w:rFonts w:hint="eastAsia" w:eastAsiaTheme="minorEastAsia"/>
        <w:lang w:eastAsia="zh-CN"/>
      </w:rPr>
    </w:pPr>
    <w:r>
      <w:rPr>
        <w:rFonts w:hint="eastAsia" w:eastAsiaTheme="minorEastAsia"/>
        <w:lang w:eastAsia="zh-CN"/>
      </w:rPr>
      <w:drawing>
        <wp:inline distT="0" distB="0" distL="114300" distR="114300">
          <wp:extent cx="7609205" cy="829945"/>
          <wp:effectExtent l="0" t="0" r="10795" b="825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7609205" cy="8299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B8C"/>
    <w:multiLevelType w:val="multilevel"/>
    <w:tmpl w:val="0F961B8C"/>
    <w:lvl w:ilvl="0" w:tentative="0">
      <w:start w:val="1"/>
      <w:numFmt w:val="bullet"/>
      <w:lvlText w:val=""/>
      <w:lvlJc w:val="left"/>
      <w:pPr>
        <w:tabs>
          <w:tab w:val="left" w:pos="0"/>
        </w:tabs>
        <w:ind w:left="420" w:hanging="420"/>
      </w:pPr>
      <w:rPr>
        <w:rFonts w:hint="default" w:ascii="Wingdings" w:hAnsi="Wingdings"/>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
    <w:nsid w:val="11343205"/>
    <w:multiLevelType w:val="multilevel"/>
    <w:tmpl w:val="11343205"/>
    <w:lvl w:ilvl="0" w:tentative="0">
      <w:start w:val="1"/>
      <w:numFmt w:val="decimal"/>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126E3FB8"/>
    <w:multiLevelType w:val="multilevel"/>
    <w:tmpl w:val="126E3F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6FC05FF"/>
    <w:multiLevelType w:val="multilevel"/>
    <w:tmpl w:val="16FC05FF"/>
    <w:lvl w:ilvl="0" w:tentative="0">
      <w:start w:val="1"/>
      <w:numFmt w:val="bullet"/>
      <w:lvlText w:val=""/>
      <w:lvlJc w:val="left"/>
      <w:pPr>
        <w:tabs>
          <w:tab w:val="left" w:pos="0"/>
        </w:tabs>
        <w:ind w:left="420" w:hanging="420"/>
      </w:pPr>
      <w:rPr>
        <w:rFonts w:hint="default" w:ascii="Wingdings" w:hAnsi="Wingdings"/>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27AC38A4"/>
    <w:multiLevelType w:val="multilevel"/>
    <w:tmpl w:val="27AC38A4"/>
    <w:lvl w:ilvl="0" w:tentative="0">
      <w:start w:val="1"/>
      <w:numFmt w:val="decimal"/>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5">
    <w:nsid w:val="38FE19B8"/>
    <w:multiLevelType w:val="multilevel"/>
    <w:tmpl w:val="38FE19B8"/>
    <w:lvl w:ilvl="0" w:tentative="0">
      <w:start w:val="1"/>
      <w:numFmt w:val="chineseCountingThousand"/>
      <w:lvlText w:val="%1、"/>
      <w:lvlJc w:val="left"/>
      <w:pPr>
        <w:ind w:left="170" w:hanging="170"/>
      </w:pPr>
      <w:rPr>
        <w:rFonts w:hint="eastAsia"/>
        <w:snapToGrid w:val="0"/>
        <w:ker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4343904"/>
    <w:multiLevelType w:val="multilevel"/>
    <w:tmpl w:val="44343904"/>
    <w:lvl w:ilvl="0" w:tentative="0">
      <w:start w:val="1"/>
      <w:numFmt w:val="decimal"/>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7">
    <w:nsid w:val="451878BC"/>
    <w:multiLevelType w:val="multilevel"/>
    <w:tmpl w:val="451878BC"/>
    <w:lvl w:ilvl="0" w:tentative="0">
      <w:start w:val="1"/>
      <w:numFmt w:val="bullet"/>
      <w:pStyle w:val="10"/>
      <w:lvlText w:val=""/>
      <w:lvlJc w:val="left"/>
      <w:pPr>
        <w:ind w:left="900" w:hanging="420"/>
      </w:pPr>
      <w:rPr>
        <w:rFonts w:hint="default" w:ascii="Wingdings" w:hAnsi="Wingdings"/>
        <w:sz w:val="24"/>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5A6A4F5E"/>
    <w:multiLevelType w:val="multilevel"/>
    <w:tmpl w:val="5A6A4F5E"/>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9">
    <w:nsid w:val="5EAE01EA"/>
    <w:multiLevelType w:val="multilevel"/>
    <w:tmpl w:val="5EAE01EA"/>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10">
    <w:nsid w:val="6462524C"/>
    <w:multiLevelType w:val="multilevel"/>
    <w:tmpl w:val="6462524C"/>
    <w:lvl w:ilvl="0" w:tentative="0">
      <w:start w:val="1"/>
      <w:numFmt w:val="bullet"/>
      <w:lvlText w:val=""/>
      <w:lvlJc w:val="left"/>
      <w:pPr>
        <w:tabs>
          <w:tab w:val="left" w:pos="0"/>
        </w:tabs>
        <w:ind w:left="420" w:hanging="420"/>
      </w:pPr>
      <w:rPr>
        <w:rFonts w:hint="default" w:ascii="Wingdings" w:hAnsi="Wingdings"/>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1">
    <w:nsid w:val="684727FE"/>
    <w:multiLevelType w:val="multilevel"/>
    <w:tmpl w:val="684727FE"/>
    <w:lvl w:ilvl="0" w:tentative="0">
      <w:start w:val="1"/>
      <w:numFmt w:val="bullet"/>
      <w:lvlText w:val=""/>
      <w:lvlJc w:val="left"/>
      <w:pPr>
        <w:tabs>
          <w:tab w:val="left" w:pos="0"/>
        </w:tabs>
        <w:ind w:left="420" w:hanging="420"/>
      </w:pPr>
      <w:rPr>
        <w:rFonts w:hint="default" w:ascii="Wingdings" w:hAnsi="Wingdings"/>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2">
    <w:nsid w:val="71656D4D"/>
    <w:multiLevelType w:val="multilevel"/>
    <w:tmpl w:val="71656D4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6365188"/>
    <w:multiLevelType w:val="multilevel"/>
    <w:tmpl w:val="76365188"/>
    <w:lvl w:ilvl="0" w:tentative="0">
      <w:start w:val="1"/>
      <w:numFmt w:val="bullet"/>
      <w:lvlText w:val=""/>
      <w:lvlJc w:val="left"/>
      <w:pPr>
        <w:tabs>
          <w:tab w:val="left" w:pos="0"/>
        </w:tabs>
        <w:ind w:left="420" w:hanging="420"/>
      </w:pPr>
      <w:rPr>
        <w:rFonts w:hint="default" w:ascii="Wingdings" w:hAnsi="Wingdings"/>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4">
    <w:nsid w:val="79E34034"/>
    <w:multiLevelType w:val="multilevel"/>
    <w:tmpl w:val="79E34034"/>
    <w:lvl w:ilvl="0" w:tentative="0">
      <w:start w:val="1"/>
      <w:numFmt w:val="bullet"/>
      <w:lvlText w:val=""/>
      <w:lvlJc w:val="left"/>
      <w:pPr>
        <w:tabs>
          <w:tab w:val="left" w:pos="0"/>
        </w:tabs>
        <w:ind w:left="420" w:hanging="420"/>
      </w:pPr>
      <w:rPr>
        <w:rFonts w:hint="default" w:ascii="Wingdings" w:hAnsi="Wingdings"/>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5">
    <w:nsid w:val="7AAD1505"/>
    <w:multiLevelType w:val="multilevel"/>
    <w:tmpl w:val="7AAD1505"/>
    <w:lvl w:ilvl="0" w:tentative="0">
      <w:start w:val="1"/>
      <w:numFmt w:val="bullet"/>
      <w:lvlText w:val=""/>
      <w:lvlJc w:val="left"/>
      <w:pPr>
        <w:tabs>
          <w:tab w:val="left" w:pos="0"/>
        </w:tabs>
        <w:ind w:left="420" w:hanging="420"/>
      </w:pPr>
      <w:rPr>
        <w:rFonts w:hint="default" w:ascii="Wingdings" w:hAnsi="Wingdings"/>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7"/>
  </w:num>
  <w:num w:numId="2">
    <w:abstractNumId w:val="5"/>
  </w:num>
  <w:num w:numId="3">
    <w:abstractNumId w:val="8"/>
  </w:num>
  <w:num w:numId="4">
    <w:abstractNumId w:val="6"/>
  </w:num>
  <w:num w:numId="5">
    <w:abstractNumId w:val="2"/>
  </w:num>
  <w:num w:numId="6">
    <w:abstractNumId w:val="9"/>
  </w:num>
  <w:num w:numId="7">
    <w:abstractNumId w:val="12"/>
  </w:num>
  <w:num w:numId="8">
    <w:abstractNumId w:val="1"/>
  </w:num>
  <w:num w:numId="9">
    <w:abstractNumId w:val="11"/>
  </w:num>
  <w:num w:numId="10">
    <w:abstractNumId w:val="10"/>
  </w:num>
  <w:num w:numId="11">
    <w:abstractNumId w:val="14"/>
  </w:num>
  <w:num w:numId="12">
    <w:abstractNumId w:val="4"/>
  </w:num>
  <w:num w:numId="13">
    <w:abstractNumId w:val="3"/>
  </w:num>
  <w:num w:numId="14">
    <w:abstractNumId w:val="1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hideSpellingErrors/>
  <w:hideGrammaticalErrors/>
  <w:documentProtection w:enforcement="0"/>
  <w:defaultTabStop w:val="21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CB"/>
    <w:rsid w:val="000026A1"/>
    <w:rsid w:val="00020038"/>
    <w:rsid w:val="0002491B"/>
    <w:rsid w:val="0002694C"/>
    <w:rsid w:val="00031CFF"/>
    <w:rsid w:val="0003443F"/>
    <w:rsid w:val="000379FC"/>
    <w:rsid w:val="00040558"/>
    <w:rsid w:val="000428F9"/>
    <w:rsid w:val="0004295E"/>
    <w:rsid w:val="0004545E"/>
    <w:rsid w:val="0006500C"/>
    <w:rsid w:val="0007476E"/>
    <w:rsid w:val="0007624D"/>
    <w:rsid w:val="0008454A"/>
    <w:rsid w:val="000C0829"/>
    <w:rsid w:val="000C4933"/>
    <w:rsid w:val="000D1750"/>
    <w:rsid w:val="000F2771"/>
    <w:rsid w:val="000F2E4F"/>
    <w:rsid w:val="00110C8F"/>
    <w:rsid w:val="001143AA"/>
    <w:rsid w:val="00114C2A"/>
    <w:rsid w:val="00125FF3"/>
    <w:rsid w:val="00135F8F"/>
    <w:rsid w:val="001872C0"/>
    <w:rsid w:val="00187504"/>
    <w:rsid w:val="00196E0B"/>
    <w:rsid w:val="001A0F90"/>
    <w:rsid w:val="001D0E31"/>
    <w:rsid w:val="001D2691"/>
    <w:rsid w:val="001E1373"/>
    <w:rsid w:val="001E1532"/>
    <w:rsid w:val="001F4307"/>
    <w:rsid w:val="00245E5A"/>
    <w:rsid w:val="00261EC4"/>
    <w:rsid w:val="00265C5F"/>
    <w:rsid w:val="002920A8"/>
    <w:rsid w:val="002B4061"/>
    <w:rsid w:val="002B5A3E"/>
    <w:rsid w:val="002F0B26"/>
    <w:rsid w:val="00315C77"/>
    <w:rsid w:val="00325E75"/>
    <w:rsid w:val="00334840"/>
    <w:rsid w:val="003351A8"/>
    <w:rsid w:val="00347A35"/>
    <w:rsid w:val="003625D7"/>
    <w:rsid w:val="00393C6F"/>
    <w:rsid w:val="003B1BF7"/>
    <w:rsid w:val="003B26EC"/>
    <w:rsid w:val="003D709A"/>
    <w:rsid w:val="003E039C"/>
    <w:rsid w:val="003F69F3"/>
    <w:rsid w:val="004028B4"/>
    <w:rsid w:val="00403F2E"/>
    <w:rsid w:val="00406FED"/>
    <w:rsid w:val="00483A1C"/>
    <w:rsid w:val="00493B6E"/>
    <w:rsid w:val="00497A1E"/>
    <w:rsid w:val="004E3230"/>
    <w:rsid w:val="004E7CDC"/>
    <w:rsid w:val="00513FAD"/>
    <w:rsid w:val="00525F5F"/>
    <w:rsid w:val="00530F7B"/>
    <w:rsid w:val="0054491E"/>
    <w:rsid w:val="00562FE3"/>
    <w:rsid w:val="00592648"/>
    <w:rsid w:val="005A49DE"/>
    <w:rsid w:val="005A6C35"/>
    <w:rsid w:val="005C1367"/>
    <w:rsid w:val="005C2E7F"/>
    <w:rsid w:val="005C6AF2"/>
    <w:rsid w:val="005D03D8"/>
    <w:rsid w:val="005E16E4"/>
    <w:rsid w:val="005F69CE"/>
    <w:rsid w:val="006106A4"/>
    <w:rsid w:val="00610FB5"/>
    <w:rsid w:val="00614A21"/>
    <w:rsid w:val="00617171"/>
    <w:rsid w:val="00623F18"/>
    <w:rsid w:val="006406D1"/>
    <w:rsid w:val="006418E9"/>
    <w:rsid w:val="0064344C"/>
    <w:rsid w:val="00645D06"/>
    <w:rsid w:val="00656759"/>
    <w:rsid w:val="00687A4F"/>
    <w:rsid w:val="00691A42"/>
    <w:rsid w:val="00693532"/>
    <w:rsid w:val="006A388C"/>
    <w:rsid w:val="006B670C"/>
    <w:rsid w:val="006C4BC5"/>
    <w:rsid w:val="006D59FC"/>
    <w:rsid w:val="006E391B"/>
    <w:rsid w:val="006F159F"/>
    <w:rsid w:val="006F2274"/>
    <w:rsid w:val="006F3542"/>
    <w:rsid w:val="007100AD"/>
    <w:rsid w:val="0071488C"/>
    <w:rsid w:val="007336DB"/>
    <w:rsid w:val="007442BC"/>
    <w:rsid w:val="00764D65"/>
    <w:rsid w:val="0078200A"/>
    <w:rsid w:val="00785FBB"/>
    <w:rsid w:val="00793468"/>
    <w:rsid w:val="007A2D8E"/>
    <w:rsid w:val="007C3C81"/>
    <w:rsid w:val="007D601F"/>
    <w:rsid w:val="007E35E2"/>
    <w:rsid w:val="007F2B6C"/>
    <w:rsid w:val="007F4CF8"/>
    <w:rsid w:val="008034A9"/>
    <w:rsid w:val="008036D8"/>
    <w:rsid w:val="00812D53"/>
    <w:rsid w:val="0083046F"/>
    <w:rsid w:val="0084567E"/>
    <w:rsid w:val="008569F1"/>
    <w:rsid w:val="00863AB2"/>
    <w:rsid w:val="00867076"/>
    <w:rsid w:val="0087190A"/>
    <w:rsid w:val="008C4D87"/>
    <w:rsid w:val="008D6B4E"/>
    <w:rsid w:val="008E4D0C"/>
    <w:rsid w:val="009005B2"/>
    <w:rsid w:val="009057C7"/>
    <w:rsid w:val="00914664"/>
    <w:rsid w:val="00916F6F"/>
    <w:rsid w:val="00921261"/>
    <w:rsid w:val="00933760"/>
    <w:rsid w:val="00936CAD"/>
    <w:rsid w:val="00940872"/>
    <w:rsid w:val="00942BEE"/>
    <w:rsid w:val="00957106"/>
    <w:rsid w:val="00960DB2"/>
    <w:rsid w:val="009659C8"/>
    <w:rsid w:val="00973C22"/>
    <w:rsid w:val="00982C3A"/>
    <w:rsid w:val="0099206D"/>
    <w:rsid w:val="009A7665"/>
    <w:rsid w:val="009F3CC7"/>
    <w:rsid w:val="00A15B87"/>
    <w:rsid w:val="00A16075"/>
    <w:rsid w:val="00A21076"/>
    <w:rsid w:val="00A42C77"/>
    <w:rsid w:val="00A55A67"/>
    <w:rsid w:val="00A652CA"/>
    <w:rsid w:val="00A673B2"/>
    <w:rsid w:val="00A82244"/>
    <w:rsid w:val="00AA0370"/>
    <w:rsid w:val="00AB1097"/>
    <w:rsid w:val="00AB2D52"/>
    <w:rsid w:val="00AC5F92"/>
    <w:rsid w:val="00AD1F24"/>
    <w:rsid w:val="00AD670B"/>
    <w:rsid w:val="00B126E2"/>
    <w:rsid w:val="00B17223"/>
    <w:rsid w:val="00B2204B"/>
    <w:rsid w:val="00B41DCD"/>
    <w:rsid w:val="00B42B70"/>
    <w:rsid w:val="00B52BCD"/>
    <w:rsid w:val="00B636DF"/>
    <w:rsid w:val="00B71379"/>
    <w:rsid w:val="00B96886"/>
    <w:rsid w:val="00BB4DAC"/>
    <w:rsid w:val="00BC091C"/>
    <w:rsid w:val="00BC17AD"/>
    <w:rsid w:val="00BC2C41"/>
    <w:rsid w:val="00BF0EE7"/>
    <w:rsid w:val="00BF338E"/>
    <w:rsid w:val="00C06BED"/>
    <w:rsid w:val="00C17C8B"/>
    <w:rsid w:val="00C436B4"/>
    <w:rsid w:val="00C55012"/>
    <w:rsid w:val="00C60BEE"/>
    <w:rsid w:val="00C6177E"/>
    <w:rsid w:val="00C675BD"/>
    <w:rsid w:val="00C75885"/>
    <w:rsid w:val="00C8588A"/>
    <w:rsid w:val="00CA504F"/>
    <w:rsid w:val="00CA52D0"/>
    <w:rsid w:val="00CB2926"/>
    <w:rsid w:val="00CC7ABB"/>
    <w:rsid w:val="00CD3075"/>
    <w:rsid w:val="00D01A4F"/>
    <w:rsid w:val="00D1346A"/>
    <w:rsid w:val="00D23EAF"/>
    <w:rsid w:val="00D55363"/>
    <w:rsid w:val="00D56FAC"/>
    <w:rsid w:val="00D6378B"/>
    <w:rsid w:val="00D91A75"/>
    <w:rsid w:val="00DA35D2"/>
    <w:rsid w:val="00DB41B6"/>
    <w:rsid w:val="00DC1709"/>
    <w:rsid w:val="00DC6DB5"/>
    <w:rsid w:val="00DC76F7"/>
    <w:rsid w:val="00DC783B"/>
    <w:rsid w:val="00DD12A0"/>
    <w:rsid w:val="00DD6531"/>
    <w:rsid w:val="00DF27E8"/>
    <w:rsid w:val="00E001CB"/>
    <w:rsid w:val="00E00AC4"/>
    <w:rsid w:val="00E1245C"/>
    <w:rsid w:val="00E1748F"/>
    <w:rsid w:val="00E45301"/>
    <w:rsid w:val="00E503EA"/>
    <w:rsid w:val="00E641A2"/>
    <w:rsid w:val="00E90DEA"/>
    <w:rsid w:val="00EC0DBA"/>
    <w:rsid w:val="00EE756D"/>
    <w:rsid w:val="00F126FD"/>
    <w:rsid w:val="00F3265B"/>
    <w:rsid w:val="00F47C24"/>
    <w:rsid w:val="00F505CF"/>
    <w:rsid w:val="00F801E4"/>
    <w:rsid w:val="00FA054E"/>
    <w:rsid w:val="00FA0FCA"/>
    <w:rsid w:val="00FA40DE"/>
    <w:rsid w:val="00FE482C"/>
    <w:rsid w:val="00FE5FC0"/>
    <w:rsid w:val="00FF2534"/>
    <w:rsid w:val="02B95A24"/>
    <w:rsid w:val="05E815E1"/>
    <w:rsid w:val="164F5778"/>
    <w:rsid w:val="1B842152"/>
    <w:rsid w:val="23F328B3"/>
    <w:rsid w:val="413E5CBE"/>
    <w:rsid w:val="4B3C30D4"/>
    <w:rsid w:val="4E9B6617"/>
    <w:rsid w:val="50B64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link w:val="14"/>
    <w:qFormat/>
    <w:uiPriority w:val="99"/>
    <w:pPr>
      <w:spacing w:after="120" w:line="480" w:lineRule="auto"/>
      <w:ind w:left="420" w:leftChars="200"/>
    </w:pPr>
    <w:rPr>
      <w:rFonts w:ascii="Times New Roman" w:hAnsi="Times New Roman" w:eastAsia="宋体" w:cs="Times New Roman"/>
      <w:szCs w:val="20"/>
    </w:rPr>
  </w:style>
  <w:style w:type="paragraph" w:styleId="3">
    <w:name w:val="Balloon Text"/>
    <w:basedOn w:val="1"/>
    <w:link w:val="17"/>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single"/>
    </w:rPr>
  </w:style>
  <w:style w:type="paragraph" w:customStyle="1" w:styleId="9">
    <w:name w:val="列出段落1"/>
    <w:basedOn w:val="1"/>
    <w:qFormat/>
    <w:uiPriority w:val="0"/>
    <w:pPr>
      <w:ind w:firstLine="420" w:firstLineChars="200"/>
    </w:pPr>
  </w:style>
  <w:style w:type="paragraph" w:customStyle="1" w:styleId="10">
    <w:name w:val="Dev2"/>
    <w:basedOn w:val="1"/>
    <w:link w:val="11"/>
    <w:qFormat/>
    <w:uiPriority w:val="0"/>
    <w:pPr>
      <w:numPr>
        <w:ilvl w:val="0"/>
        <w:numId w:val="1"/>
      </w:numPr>
      <w:spacing w:after="60" w:line="360" w:lineRule="auto"/>
    </w:pPr>
    <w:rPr>
      <w:rFonts w:ascii="Times New Roman" w:hAnsi="Times New Roman" w:eastAsia="宋体" w:cs="Times New Roman"/>
      <w:sz w:val="24"/>
      <w:szCs w:val="21"/>
      <w:lang w:val="zh-CN"/>
    </w:rPr>
  </w:style>
  <w:style w:type="character" w:customStyle="1" w:styleId="11">
    <w:name w:val="Dev2 Char"/>
    <w:link w:val="10"/>
    <w:qFormat/>
    <w:uiPriority w:val="0"/>
    <w:rPr>
      <w:rFonts w:ascii="Times New Roman" w:hAnsi="Times New Roman" w:eastAsia="宋体" w:cs="Times New Roman"/>
      <w:sz w:val="24"/>
      <w:szCs w:val="21"/>
      <w:lang w:val="zh-CN" w:eastAsia="zh-CN"/>
    </w:rPr>
  </w:style>
  <w:style w:type="character" w:customStyle="1" w:styleId="12">
    <w:name w:val="页眉 字符"/>
    <w:basedOn w:val="6"/>
    <w:link w:val="5"/>
    <w:qFormat/>
    <w:uiPriority w:val="99"/>
    <w:rPr>
      <w:sz w:val="18"/>
      <w:szCs w:val="18"/>
    </w:rPr>
  </w:style>
  <w:style w:type="character" w:customStyle="1" w:styleId="13">
    <w:name w:val="页脚 字符"/>
    <w:basedOn w:val="6"/>
    <w:link w:val="4"/>
    <w:qFormat/>
    <w:uiPriority w:val="99"/>
    <w:rPr>
      <w:sz w:val="18"/>
      <w:szCs w:val="18"/>
    </w:rPr>
  </w:style>
  <w:style w:type="character" w:customStyle="1" w:styleId="14">
    <w:name w:val="正文文本缩进 2 字符"/>
    <w:basedOn w:val="6"/>
    <w:link w:val="2"/>
    <w:qFormat/>
    <w:uiPriority w:val="99"/>
    <w:rPr>
      <w:rFonts w:ascii="Times New Roman" w:hAnsi="Times New Roman" w:eastAsia="宋体" w:cs="Times New Roman"/>
      <w:szCs w:val="20"/>
    </w:rPr>
  </w:style>
  <w:style w:type="paragraph" w:customStyle="1" w:styleId="15">
    <w:name w:val="List Paragraph1"/>
    <w:basedOn w:val="1"/>
    <w:uiPriority w:val="99"/>
    <w:pPr>
      <w:ind w:firstLine="200" w:firstLineChars="200"/>
    </w:pPr>
    <w:rPr>
      <w:rFonts w:ascii="Calibri" w:hAnsi="Calibri" w:eastAsia="宋体" w:cs="Arial"/>
    </w:rPr>
  </w:style>
  <w:style w:type="paragraph" w:customStyle="1" w:styleId="16">
    <w:name w:val="列出段落11"/>
    <w:basedOn w:val="1"/>
    <w:qFormat/>
    <w:uiPriority w:val="0"/>
    <w:pPr>
      <w:ind w:firstLine="420" w:firstLineChars="200"/>
    </w:pPr>
    <w:rPr>
      <w:rFonts w:ascii="Times New Roman" w:hAnsi="Times New Roman" w:eastAsia="宋体" w:cs="Times New Roman"/>
      <w:szCs w:val="21"/>
    </w:rPr>
  </w:style>
  <w:style w:type="character" w:customStyle="1" w:styleId="17">
    <w:name w:val="批注框文本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429</Words>
  <Characters>2451</Characters>
  <Lines>20</Lines>
  <Paragraphs>5</Paragraphs>
  <TotalTime>1</TotalTime>
  <ScaleCrop>false</ScaleCrop>
  <LinksUpToDate>false</LinksUpToDate>
  <CharactersWithSpaces>2875</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2018-10-29T06:38:00Z</dcterms:created>
  <dc:creator>ZPEDU</dc:creator>
  <cp:lastModifiedBy>中培教育-倪闯</cp:lastModifiedBy>
  <dcterms:modified xsi:type="dcterms:W3CDTF">2018-12-18T01:59:52Z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