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240" w:after="240" w:line="400" w:lineRule="exact"/>
        <w:jc w:val="center"/>
        <w:rPr>
          <w:rFonts w:ascii="宋体" w:hAnsi="宋体"/>
          <w:b/>
          <w:color w:val="000000"/>
          <w:kern w:val="0"/>
          <w:sz w:val="36"/>
          <w:szCs w:val="36"/>
        </w:rPr>
      </w:pPr>
      <w:r>
        <w:rPr>
          <w:rFonts w:hint="eastAsia" w:ascii="宋体" w:hAnsi="宋体"/>
          <w:b/>
          <w:sz w:val="40"/>
          <w:szCs w:val="40"/>
        </w:rPr>
        <w:t>IT项目管理与需求分析最佳实践</w:t>
      </w:r>
    </w:p>
    <w:p>
      <w:pPr>
        <w:widowControl/>
        <w:adjustRightInd w:val="0"/>
        <w:snapToGrid w:val="0"/>
        <w:spacing w:before="240" w:after="240" w:line="400" w:lineRule="exact"/>
        <w:jc w:val="center"/>
        <w:rPr>
          <w:rFonts w:ascii="宋体" w:hAnsi="宋体"/>
          <w:b/>
          <w:color w:val="000000"/>
          <w:kern w:val="0"/>
          <w:sz w:val="36"/>
          <w:szCs w:val="36"/>
        </w:rPr>
      </w:pPr>
      <w:r>
        <w:rPr>
          <w:rFonts w:hint="eastAsia" w:ascii="宋体" w:hAnsi="宋体"/>
          <w:b/>
          <w:color w:val="000000"/>
          <w:kern w:val="0"/>
          <w:sz w:val="36"/>
          <w:szCs w:val="36"/>
        </w:rPr>
        <w:t>培训班</w:t>
      </w:r>
    </w:p>
    <w:tbl>
      <w:tblPr>
        <w:tblStyle w:val="6"/>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415"/>
        <w:gridCol w:w="2415"/>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等线" w:hAnsi="等线"/>
                <w:b/>
                <w:color w:val="000000"/>
                <w:spacing w:val="8"/>
                <w:sz w:val="24"/>
                <w:szCs w:val="24"/>
              </w:rPr>
            </w:pPr>
            <w:r>
              <w:rPr>
                <w:rFonts w:hint="eastAsia" w:ascii="等线" w:hAnsi="等线"/>
                <w:b/>
                <w:color w:val="000000"/>
                <w:spacing w:val="8"/>
                <w:sz w:val="24"/>
                <w:szCs w:val="24"/>
              </w:rPr>
              <w:t>培训地点</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hint="default" w:ascii="等线" w:hAnsi="等线" w:eastAsia="宋体"/>
                <w:b/>
                <w:color w:val="0066FF"/>
                <w:spacing w:val="8"/>
                <w:sz w:val="24"/>
                <w:szCs w:val="24"/>
                <w:lang w:val="en-US" w:eastAsia="zh-CN"/>
              </w:rPr>
            </w:pPr>
            <w:r>
              <w:rPr>
                <w:rFonts w:hint="eastAsia" w:ascii="等线" w:hAnsi="等线"/>
                <w:b/>
                <w:color w:val="0066FF"/>
                <w:spacing w:val="8"/>
                <w:sz w:val="24"/>
                <w:szCs w:val="24"/>
                <w:lang w:val="en-US" w:eastAsia="zh-CN"/>
              </w:rPr>
              <w:t>网络直播</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等线" w:hAnsi="等线"/>
                <w:b/>
                <w:color w:val="0066FF"/>
                <w:spacing w:val="8"/>
                <w:sz w:val="24"/>
                <w:szCs w:val="24"/>
              </w:rPr>
            </w:pPr>
            <w:r>
              <w:rPr>
                <w:rFonts w:hint="eastAsia" w:ascii="等线" w:hAnsi="等线"/>
                <w:b/>
                <w:color w:val="0066FF"/>
                <w:spacing w:val="8"/>
                <w:sz w:val="24"/>
                <w:szCs w:val="24"/>
              </w:rPr>
              <w:t>上海</w:t>
            </w:r>
          </w:p>
        </w:tc>
        <w:tc>
          <w:tcPr>
            <w:tcW w:w="2416"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等线" w:hAnsi="等线"/>
                <w:b/>
                <w:color w:val="0066FF"/>
                <w:spacing w:val="8"/>
                <w:sz w:val="24"/>
                <w:szCs w:val="24"/>
              </w:rPr>
            </w:pPr>
            <w:r>
              <w:rPr>
                <w:rFonts w:hint="eastAsia" w:ascii="等线" w:hAnsi="等线"/>
                <w:b/>
                <w:color w:val="0066FF"/>
                <w:spacing w:val="8"/>
                <w:sz w:val="24"/>
                <w:szCs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培训时间</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ascii="宋体" w:hAnsi="宋体"/>
                <w:b/>
                <w:color w:val="0066FF"/>
                <w:spacing w:val="8"/>
                <w:sz w:val="24"/>
                <w:szCs w:val="24"/>
              </w:rPr>
              <w:t>4</w:t>
            </w:r>
            <w:r>
              <w:rPr>
                <w:rFonts w:hint="eastAsia" w:ascii="宋体" w:hAnsi="宋体"/>
                <w:b/>
                <w:color w:val="0066FF"/>
                <w:spacing w:val="8"/>
                <w:sz w:val="24"/>
                <w:szCs w:val="24"/>
              </w:rPr>
              <w:t>月</w:t>
            </w:r>
          </w:p>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2</w:t>
            </w:r>
            <w:r>
              <w:rPr>
                <w:rFonts w:ascii="宋体" w:hAnsi="宋体"/>
                <w:b/>
                <w:color w:val="0066FF"/>
                <w:spacing w:val="8"/>
                <w:sz w:val="24"/>
                <w:szCs w:val="24"/>
              </w:rPr>
              <w:t>6-29</w:t>
            </w:r>
          </w:p>
        </w:tc>
        <w:tc>
          <w:tcPr>
            <w:tcW w:w="2415"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ascii="宋体" w:hAnsi="宋体"/>
                <w:b/>
                <w:color w:val="0066FF"/>
                <w:spacing w:val="8"/>
                <w:sz w:val="24"/>
                <w:szCs w:val="24"/>
              </w:rPr>
              <w:t>7</w:t>
            </w:r>
            <w:r>
              <w:rPr>
                <w:rFonts w:hint="eastAsia" w:ascii="宋体" w:hAnsi="宋体"/>
                <w:b/>
                <w:color w:val="0066FF"/>
                <w:spacing w:val="8"/>
                <w:sz w:val="24"/>
                <w:szCs w:val="24"/>
              </w:rPr>
              <w:t>月</w:t>
            </w:r>
          </w:p>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待定</w:t>
            </w:r>
          </w:p>
        </w:tc>
        <w:tc>
          <w:tcPr>
            <w:tcW w:w="2416"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ascii="宋体" w:hAnsi="宋体"/>
                <w:b/>
                <w:color w:val="0066FF"/>
                <w:spacing w:val="8"/>
                <w:sz w:val="24"/>
                <w:szCs w:val="24"/>
              </w:rPr>
              <w:t>10</w:t>
            </w:r>
            <w:r>
              <w:rPr>
                <w:rFonts w:hint="eastAsia" w:ascii="宋体" w:hAnsi="宋体"/>
                <w:b/>
                <w:color w:val="0066FF"/>
                <w:spacing w:val="8"/>
                <w:sz w:val="24"/>
                <w:szCs w:val="24"/>
              </w:rPr>
              <w:t>月</w:t>
            </w:r>
          </w:p>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培训方式</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66FF"/>
                <w:spacing w:val="8"/>
                <w:sz w:val="24"/>
                <w:szCs w:val="24"/>
              </w:rPr>
            </w:pPr>
            <w:r>
              <w:rPr>
                <w:rFonts w:hint="eastAsia" w:ascii="宋体" w:hAnsi="宋体"/>
                <w:b/>
                <w:color w:val="0066FF"/>
                <w:spacing w:val="8"/>
                <w:sz w:val="24"/>
                <w:szCs w:val="24"/>
              </w:rPr>
              <w:t>面授+直播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ascii="宋体" w:hAnsi="宋体"/>
                <w:b/>
                <w:color w:val="000000"/>
                <w:spacing w:val="8"/>
                <w:sz w:val="24"/>
                <w:szCs w:val="24"/>
              </w:rPr>
            </w:pPr>
            <w:r>
              <w:rPr>
                <w:rFonts w:hint="eastAsia" w:ascii="宋体" w:hAnsi="宋体"/>
                <w:b/>
                <w:color w:val="000000"/>
                <w:spacing w:val="8"/>
                <w:sz w:val="24"/>
                <w:szCs w:val="24"/>
              </w:rPr>
              <w:t xml:space="preserve">增值服务 </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1.参加线下面授课程，可享受视频回放免费学一年；</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2.参加在线直播课程，可享受视频回放免费学一年；</w:t>
            </w:r>
          </w:p>
          <w:p>
            <w:pPr>
              <w:tabs>
                <w:tab w:val="left" w:pos="10080"/>
              </w:tabs>
              <w:adjustRightInd w:val="0"/>
              <w:snapToGrid w:val="0"/>
              <w:spacing w:after="0" w:line="276" w:lineRule="auto"/>
              <w:ind w:right="-80" w:rightChars="-38" w:firstLine="0" w:firstLineChars="0"/>
              <w:jc w:val="left"/>
              <w:rPr>
                <w:rFonts w:ascii="宋体" w:hAnsi="宋体" w:cs="黑体"/>
                <w:b/>
                <w:bCs/>
                <w:color w:val="0066FF"/>
                <w:sz w:val="24"/>
                <w:szCs w:val="24"/>
              </w:rPr>
            </w:pPr>
            <w:r>
              <w:rPr>
                <w:rFonts w:hint="eastAsia" w:ascii="宋体" w:hAnsi="宋体" w:eastAsia="宋体" w:cs="宋体"/>
                <w:b/>
                <w:color w:val="3366FF"/>
                <w:spacing w:val="8"/>
                <w:sz w:val="24"/>
                <w:szCs w:val="24"/>
                <w:lang w:eastAsia="zh-CN"/>
              </w:rPr>
              <w:t>3.提前缴费即可开通录播视频超前学习。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562" w:type="dxa"/>
            <w:tcBorders>
              <w:top w:val="single" w:color="auto" w:sz="4" w:space="0"/>
              <w:left w:val="single" w:color="auto" w:sz="4" w:space="0"/>
              <w:bottom w:val="single" w:color="auto" w:sz="4" w:space="0"/>
              <w:right w:val="single" w:color="auto" w:sz="4" w:space="0"/>
            </w:tcBorders>
            <w:vAlign w:val="center"/>
          </w:tcPr>
          <w:p>
            <w:pPr>
              <w:tabs>
                <w:tab w:val="left" w:pos="10080"/>
              </w:tabs>
              <w:ind w:right="-80" w:rightChars="-38"/>
              <w:jc w:val="center"/>
              <w:rPr>
                <w:rFonts w:hint="eastAsia" w:ascii="宋体" w:hAnsi="宋体" w:eastAsia="宋体"/>
                <w:b/>
                <w:color w:val="000000"/>
                <w:spacing w:val="8"/>
                <w:sz w:val="24"/>
                <w:szCs w:val="24"/>
                <w:lang w:val="en-US" w:eastAsia="zh-CN"/>
              </w:rPr>
            </w:pPr>
            <w:r>
              <w:rPr>
                <w:rFonts w:hint="eastAsia" w:ascii="宋体" w:hAnsi="宋体"/>
                <w:b/>
                <w:color w:val="000000"/>
                <w:spacing w:val="8"/>
                <w:sz w:val="24"/>
                <w:szCs w:val="24"/>
                <w:lang w:val="en-US" w:eastAsia="zh-CN"/>
              </w:rPr>
              <w:t>备注</w:t>
            </w:r>
          </w:p>
        </w:tc>
        <w:tc>
          <w:tcPr>
            <w:tcW w:w="7246" w:type="dxa"/>
            <w:gridSpan w:val="3"/>
            <w:tcBorders>
              <w:top w:val="single" w:color="auto" w:sz="4" w:space="0"/>
              <w:left w:val="single" w:color="auto" w:sz="4" w:space="0"/>
              <w:bottom w:val="single" w:color="auto" w:sz="4" w:space="0"/>
              <w:right w:val="single" w:color="auto" w:sz="4" w:space="0"/>
            </w:tcBorders>
            <w:vAlign w:val="center"/>
          </w:tcPr>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本课程全国常年开班，如部分地区课程已结束，请致电：</w:t>
            </w:r>
            <w:r>
              <w:rPr>
                <w:rFonts w:hint="eastAsia" w:cs="黑体" w:asciiTheme="majorEastAsia" w:hAnsiTheme="majorEastAsia" w:eastAsiaTheme="majorEastAsia"/>
                <w:b/>
                <w:bCs/>
                <w:color w:val="0066FF"/>
                <w:sz w:val="24"/>
                <w:szCs w:val="24"/>
                <w:lang w:val="en-US" w:eastAsia="zh-CN"/>
              </w:rPr>
              <w:t xml:space="preserve"> </w:t>
            </w:r>
            <w:r>
              <w:rPr>
                <w:rFonts w:hint="eastAsia" w:ascii="宋体" w:hAnsi="宋体" w:eastAsia="宋体" w:cs="宋体"/>
                <w:b/>
                <w:bCs/>
                <w:i w:val="0"/>
                <w:iCs w:val="0"/>
                <w:caps w:val="0"/>
                <w:color w:val="0066FF"/>
                <w:spacing w:val="0"/>
                <w:sz w:val="24"/>
                <w:szCs w:val="24"/>
                <w:lang w:eastAsia="zh-CN"/>
              </w:rPr>
              <w:t xml:space="preserve">方老师13910781835 （微信同号）QQ：1808273142 </w:t>
            </w:r>
            <w:r>
              <w:rPr>
                <w:rFonts w:hint="eastAsia" w:ascii="宋体" w:hAnsi="宋体" w:eastAsia="宋体" w:cs="宋体"/>
                <w:b/>
                <w:color w:val="3366FF"/>
                <w:spacing w:val="8"/>
                <w:sz w:val="24"/>
                <w:szCs w:val="24"/>
                <w:lang w:eastAsia="zh-CN"/>
              </w:rPr>
              <w:t>咨询最新培训课程!</w:t>
            </w:r>
          </w:p>
          <w:p>
            <w:pPr>
              <w:tabs>
                <w:tab w:val="left" w:pos="10080"/>
              </w:tabs>
              <w:adjustRightInd w:val="0"/>
              <w:snapToGrid w:val="0"/>
              <w:spacing w:after="0" w:line="276" w:lineRule="auto"/>
              <w:ind w:right="-80" w:rightChars="-38" w:firstLine="0"/>
              <w:jc w:val="left"/>
              <w:rPr>
                <w:rFonts w:hint="eastAsia" w:ascii="宋体" w:hAnsi="宋体" w:eastAsia="宋体" w:cs="宋体"/>
                <w:b/>
                <w:color w:val="3366FF"/>
                <w:spacing w:val="8"/>
                <w:sz w:val="24"/>
                <w:szCs w:val="24"/>
                <w:lang w:eastAsia="zh-CN"/>
              </w:rPr>
            </w:pPr>
            <w:r>
              <w:rPr>
                <w:rFonts w:hint="eastAsia" w:ascii="宋体" w:hAnsi="宋体" w:eastAsia="宋体" w:cs="宋体"/>
                <w:b/>
                <w:color w:val="3366FF"/>
                <w:spacing w:val="8"/>
                <w:sz w:val="24"/>
                <w:szCs w:val="24"/>
                <w:lang w:eastAsia="zh-CN"/>
              </w:rPr>
              <w:t>也可通过录播视频在线学习！</w:t>
            </w:r>
          </w:p>
          <w:p>
            <w:pPr>
              <w:tabs>
                <w:tab w:val="left" w:pos="10080"/>
              </w:tabs>
              <w:adjustRightInd w:val="0"/>
              <w:snapToGrid w:val="0"/>
              <w:spacing w:after="0" w:line="276" w:lineRule="auto"/>
              <w:ind w:right="-80" w:rightChars="-38" w:firstLine="0" w:firstLineChars="0"/>
              <w:jc w:val="left"/>
              <w:rPr>
                <w:rFonts w:hint="eastAsia" w:ascii="宋体" w:hAnsi="宋体" w:cs="黑体"/>
                <w:b/>
                <w:bCs/>
                <w:color w:val="0066FF"/>
                <w:sz w:val="24"/>
                <w:szCs w:val="24"/>
              </w:rPr>
            </w:pPr>
            <w:r>
              <w:rPr>
                <w:rFonts w:hint="eastAsia" w:ascii="宋体" w:hAnsi="宋体" w:eastAsia="宋体" w:cs="宋体"/>
                <w:b/>
                <w:color w:val="3366FF"/>
                <w:spacing w:val="8"/>
                <w:sz w:val="24"/>
                <w:szCs w:val="24"/>
                <w:lang w:eastAsia="zh-CN"/>
              </w:rPr>
              <w:t>此课程也提供企业内训，欢迎咨询！</w:t>
            </w:r>
          </w:p>
        </w:tc>
      </w:tr>
    </w:tbl>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一、培训</w:t>
      </w:r>
      <w:r>
        <w:rPr>
          <w:rFonts w:ascii="宋体" w:hAnsi="宋体" w:cs="仿宋_GB2312"/>
          <w:b/>
          <w:bCs/>
          <w:color w:val="000000"/>
          <w:sz w:val="28"/>
          <w:szCs w:val="28"/>
        </w:rPr>
        <w:t>收益</w:t>
      </w:r>
      <w:r>
        <w:rPr>
          <w:rFonts w:hint="eastAsia" w:ascii="宋体" w:hAnsi="宋体" w:cs="仿宋_GB2312"/>
          <w:b/>
          <w:bCs/>
          <w:color w:val="000000"/>
          <w:sz w:val="28"/>
          <w:szCs w:val="28"/>
        </w:rPr>
        <w:t xml:space="preserve">和目标 </w:t>
      </w:r>
    </w:p>
    <w:p>
      <w:pPr>
        <w:tabs>
          <w:tab w:val="left" w:pos="-426"/>
          <w:tab w:val="left" w:pos="465"/>
        </w:tabs>
        <w:adjustRightInd w:val="0"/>
        <w:snapToGrid w:val="0"/>
        <w:spacing w:line="400" w:lineRule="exact"/>
        <w:ind w:left="1" w:firstLine="425"/>
        <w:rPr>
          <w:rFonts w:ascii="宋体" w:hAnsi="宋体" w:cs="仿宋_GB2312"/>
          <w:bCs/>
          <w:color w:val="000000" w:themeColor="text1"/>
          <w:sz w:val="24"/>
          <w:szCs w:val="28"/>
          <w14:textFill>
            <w14:solidFill>
              <w14:schemeClr w14:val="tx1"/>
            </w14:solidFill>
          </w14:textFill>
        </w:rPr>
      </w:pPr>
      <w:r>
        <w:rPr>
          <w:rFonts w:hint="eastAsia" w:ascii="宋体" w:hAnsi="宋体" w:cs="仿宋_GB2312"/>
          <w:bCs/>
          <w:color w:val="000000" w:themeColor="text1"/>
          <w:sz w:val="24"/>
          <w:szCs w:val="28"/>
          <w14:textFill>
            <w14:solidFill>
              <w14:schemeClr w14:val="tx1"/>
            </w14:solidFill>
          </w14:textFill>
        </w:rPr>
        <w:t>大型IT项目代表了其为了实现信息化总体战略目标而正在实施的信息化项目群、项目和其他工作的集合。</w:t>
      </w:r>
      <w:r>
        <w:rPr>
          <w:rFonts w:hint="eastAsia" w:ascii="宋体" w:hAnsi="宋体"/>
          <w:color w:val="000000" w:themeColor="text1"/>
          <w:spacing w:val="8"/>
          <w:sz w:val="24"/>
          <w:szCs w:val="24"/>
          <w14:textFill>
            <w14:solidFill>
              <w14:schemeClr w14:val="tx1"/>
            </w14:solidFill>
          </w14:textFill>
        </w:rPr>
        <w:t>IT项目过程代表了其为了实现信息化总体目标而实施的信息化建设过程。实质上，如何IT项目进行立项规划、计划规划设计、高绩效执行、阶段化监控评审及其项目收尾与后评估等，必须做到有方法可循、有框架可循。</w:t>
      </w:r>
      <w:r>
        <w:rPr>
          <w:rFonts w:hint="eastAsia" w:ascii="宋体" w:hAnsi="宋体" w:cs="仿宋_GB2312"/>
          <w:bCs/>
          <w:color w:val="000000" w:themeColor="text1"/>
          <w:sz w:val="24"/>
          <w:szCs w:val="28"/>
          <w14:textFill>
            <w14:solidFill>
              <w14:schemeClr w14:val="tx1"/>
            </w14:solidFill>
          </w14:textFill>
        </w:rPr>
        <w:t>本课程通过培训使学习者获得如下收益：</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掌握大型IT项目、项目群和项目单元管理的差异；</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掌握如何设计和实施IT项目管理方法来提高项目管理投资回报；</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为您分享顶级专家大型项目管理经验和外包管控的心得、技巧；</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掌握IT项目中关键管理问题的解决方法；</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理解改善IT项目管理计划与控制的方法；</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掌握IT项目后评估流程、收尾总结方法；</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理解项目管理的重要性，通过具体案例掌握相关工具的使用方法；</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掌握IT项目管理的核心理念与实践方法；</w:t>
      </w:r>
    </w:p>
    <w:p>
      <w:pPr>
        <w:pStyle w:val="23"/>
        <w:numPr>
          <w:ilvl w:val="0"/>
          <w:numId w:val="2"/>
        </w:numPr>
        <w:tabs>
          <w:tab w:val="left" w:pos="-426"/>
          <w:tab w:val="left" w:pos="426"/>
        </w:tabs>
        <w:adjustRightInd w:val="0"/>
        <w:snapToGrid w:val="0"/>
        <w:spacing w:line="400" w:lineRule="exact"/>
        <w:ind w:left="1" w:right="-57" w:rightChars="-27" w:firstLine="850" w:firstLineChars="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掌握通过IT项目管理最佳实践过程来提高质量的方法，结合实际工作，学以致用。</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掌握需求工程方法论</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掌握有效的需求捕获技术，生成清晰的产品需求</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掌握需求建模技术捕获并文档化需求</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掌握编写分层结构文档和定义产品的不同层次需求的标准</w:t>
      </w:r>
    </w:p>
    <w:p>
      <w:pPr>
        <w:pStyle w:val="23"/>
        <w:numPr>
          <w:ilvl w:val="0"/>
          <w:numId w:val="2"/>
        </w:numPr>
        <w:adjustRightInd w:val="0"/>
        <w:snapToGrid w:val="0"/>
        <w:spacing w:line="400" w:lineRule="exact"/>
        <w:ind w:right="-57" w:rightChars="-27" w:firstLine="425" w:firstLineChars="0"/>
        <w:rPr>
          <w:rFonts w:ascii="宋体" w:hAnsi="宋体" w:eastAsia="宋体"/>
          <w:color w:val="000000" w:themeColor="text1"/>
          <w:spacing w:val="8"/>
          <w:sz w:val="24"/>
          <w:szCs w:val="24"/>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掌握使用需求属性分析实现全程跟踪管理，在整个生命周期内管理需求范围和变更</w:t>
      </w:r>
    </w:p>
    <w:p>
      <w:pPr>
        <w:pStyle w:val="23"/>
        <w:numPr>
          <w:ilvl w:val="0"/>
          <w:numId w:val="2"/>
        </w:numPr>
        <w:adjustRightInd w:val="0"/>
        <w:snapToGrid w:val="0"/>
        <w:spacing w:line="400" w:lineRule="exact"/>
        <w:ind w:left="401" w:right="-57" w:rightChars="-27" w:firstLine="439" w:firstLineChars="0"/>
        <w:rPr>
          <w:rFonts w:ascii="宋体" w:hAnsi="宋体" w:eastAsia="宋体" w:cs="仿宋_GB2312"/>
          <w:bCs/>
          <w:color w:val="000000" w:themeColor="text1"/>
          <w:sz w:val="24"/>
          <w:szCs w:val="28"/>
          <w14:textFill>
            <w14:solidFill>
              <w14:schemeClr w14:val="tx1"/>
            </w14:solidFill>
          </w14:textFill>
        </w:rPr>
      </w:pPr>
      <w:r>
        <w:rPr>
          <w:rFonts w:hint="eastAsia" w:ascii="宋体" w:hAnsi="宋体" w:eastAsia="宋体"/>
          <w:color w:val="000000" w:themeColor="text1"/>
          <w:spacing w:val="8"/>
          <w:sz w:val="24"/>
          <w:szCs w:val="24"/>
          <w14:textFill>
            <w14:solidFill>
              <w14:schemeClr w14:val="tx1"/>
            </w14:solidFill>
          </w14:textFill>
        </w:rPr>
        <w:t>掌握应用分析需求驱动设计、开发和测试活动。</w:t>
      </w:r>
    </w:p>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二、</w:t>
      </w:r>
      <w:r>
        <w:rPr>
          <w:rFonts w:ascii="宋体" w:hAnsi="宋体" w:cs="仿宋_GB2312"/>
          <w:b/>
          <w:bCs/>
          <w:color w:val="000000"/>
          <w:sz w:val="28"/>
          <w:szCs w:val="28"/>
        </w:rPr>
        <w:t>培训</w:t>
      </w:r>
      <w:r>
        <w:rPr>
          <w:rFonts w:hint="eastAsia" w:ascii="宋体" w:hAnsi="宋体" w:cs="仿宋_GB2312"/>
          <w:b/>
          <w:bCs/>
          <w:color w:val="000000"/>
          <w:sz w:val="28"/>
          <w:szCs w:val="28"/>
        </w:rPr>
        <w:t>特色</w:t>
      </w:r>
    </w:p>
    <w:p>
      <w:pPr>
        <w:tabs>
          <w:tab w:val="left" w:pos="10080"/>
        </w:tabs>
        <w:adjustRightInd w:val="0"/>
        <w:snapToGrid w:val="0"/>
        <w:spacing w:line="400" w:lineRule="exact"/>
        <w:ind w:right="-82" w:rightChars="-39" w:firstLine="512" w:firstLineChars="200"/>
        <w:rPr>
          <w:rFonts w:ascii="宋体" w:hAnsi="宋体"/>
          <w:color w:val="000000"/>
          <w:spacing w:val="8"/>
          <w:sz w:val="24"/>
          <w:szCs w:val="24"/>
        </w:rPr>
      </w:pPr>
      <w:r>
        <w:rPr>
          <w:rFonts w:hint="eastAsia" w:ascii="宋体" w:hAnsi="宋体"/>
          <w:color w:val="000000" w:themeColor="text1"/>
          <w:spacing w:val="8"/>
          <w:sz w:val="24"/>
          <w:szCs w:val="24"/>
          <w14:textFill>
            <w14:solidFill>
              <w14:schemeClr w14:val="tx1"/>
            </w14:solidFill>
          </w14:textFill>
        </w:rPr>
        <w:t>本次培训特色定位方法与实践相结合。定位于在企业信息化或软件研发过程中引入组合管理、外包管理机制，内容将涵盖大型IT项目所支撑的项目组合分解机制、项目实施过程管控、的全部最新内容。实践方面，授课专家组拥有来多年信息化建设管控实践经验，本课程采用关键咨询顾问亲自担任授课</w:t>
      </w:r>
      <w:r>
        <w:rPr>
          <w:rFonts w:hint="eastAsia" w:ascii="宋体" w:hAnsi="宋体"/>
          <w:color w:val="000000"/>
          <w:spacing w:val="8"/>
          <w:sz w:val="24"/>
          <w:szCs w:val="24"/>
        </w:rPr>
        <w:t>。</w:t>
      </w:r>
    </w:p>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三、日程安排</w:t>
      </w:r>
    </w:p>
    <w:tbl>
      <w:tblPr>
        <w:tblStyle w:val="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27"/>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shd w:val="clear" w:color="auto" w:fill="FFFFFF" w:themeFill="background1"/>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日程</w:t>
            </w:r>
          </w:p>
        </w:tc>
        <w:tc>
          <w:tcPr>
            <w:tcW w:w="2127" w:type="dxa"/>
            <w:shd w:val="clear" w:color="auto" w:fill="FFFFFF" w:themeFill="background1"/>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培训模块</w:t>
            </w:r>
          </w:p>
        </w:tc>
        <w:tc>
          <w:tcPr>
            <w:tcW w:w="6095" w:type="dxa"/>
            <w:shd w:val="clear" w:color="auto" w:fill="FFFFFF" w:themeFill="background1"/>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第一天</w:t>
            </w: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上午</w:t>
            </w: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IT战略与项目组合管理</w:t>
            </w:r>
          </w:p>
        </w:tc>
        <w:tc>
          <w:tcPr>
            <w:tcW w:w="6095" w:type="dxa"/>
          </w:tcPr>
          <w:p>
            <w:p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IT战略与IT执行力</w:t>
            </w:r>
          </w:p>
          <w:p>
            <w:pPr>
              <w:numPr>
                <w:ilvl w:val="0"/>
                <w:numId w:val="3"/>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IT战略规划</w:t>
            </w:r>
          </w:p>
          <w:p>
            <w:pPr>
              <w:numPr>
                <w:ilvl w:val="0"/>
                <w:numId w:val="3"/>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信息化顶层架构</w:t>
            </w:r>
          </w:p>
          <w:p>
            <w:pPr>
              <w:numPr>
                <w:ilvl w:val="0"/>
                <w:numId w:val="3"/>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IT战略执行力</w:t>
            </w:r>
          </w:p>
          <w:p>
            <w:pPr>
              <w:numPr>
                <w:ilvl w:val="0"/>
                <w:numId w:val="3"/>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IT投资组合管理</w:t>
            </w:r>
          </w:p>
          <w:p>
            <w:pPr>
              <w:numPr>
                <w:ilvl w:val="0"/>
                <w:numId w:val="3"/>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IT价值评估</w:t>
            </w:r>
          </w:p>
          <w:p>
            <w:p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大型IT 项目组合管理</w:t>
            </w:r>
          </w:p>
          <w:p>
            <w:pPr>
              <w:adjustRightInd w:val="0"/>
              <w:snapToGrid w:val="0"/>
              <w:spacing w:line="276"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产品愿景与需求精准定位方法</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大型IT项目需求分解</w:t>
            </w:r>
          </w:p>
          <w:p>
            <w:pPr>
              <w:tabs>
                <w:tab w:val="left" w:pos="840"/>
              </w:tabs>
              <w:adjustRightInd w:val="0"/>
              <w:snapToGrid w:val="0"/>
              <w:spacing w:line="276" w:lineRule="auto"/>
              <w:ind w:left="84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大型项目切分法则</w:t>
            </w:r>
          </w:p>
          <w:p>
            <w:pPr>
              <w:tabs>
                <w:tab w:val="left" w:pos="840"/>
              </w:tabs>
              <w:adjustRightInd w:val="0"/>
              <w:snapToGrid w:val="0"/>
              <w:spacing w:line="276" w:lineRule="auto"/>
              <w:ind w:left="84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需求优先级策略</w:t>
            </w:r>
          </w:p>
          <w:p>
            <w:pPr>
              <w:tabs>
                <w:tab w:val="left" w:pos="840"/>
              </w:tabs>
              <w:adjustRightInd w:val="0"/>
              <w:snapToGrid w:val="0"/>
              <w:spacing w:line="276" w:lineRule="auto"/>
              <w:ind w:left="84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分解需求、分解开发模型（瀑布&amp;敏捷）</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大型IT项目投资组合管理</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大型IT项目的资源配置结构</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大型IT项目的成本结构和定价模型</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大型IT项目的估算</w:t>
            </w:r>
          </w:p>
          <w:p>
            <w:pPr>
              <w:tabs>
                <w:tab w:val="left" w:pos="840"/>
              </w:tabs>
              <w:adjustRightInd w:val="0"/>
              <w:snapToGrid w:val="0"/>
              <w:spacing w:line="276" w:lineRule="auto"/>
              <w:ind w:left="84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关联估算&amp;任务估算方法</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大型IT项目的量化过程管理</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大型IT项目进度和任务管理</w:t>
            </w:r>
          </w:p>
          <w:p>
            <w:pPr>
              <w:tabs>
                <w:tab w:val="left" w:pos="840"/>
              </w:tabs>
              <w:adjustRightInd w:val="0"/>
              <w:snapToGrid w:val="0"/>
              <w:spacing w:line="276" w:lineRule="auto"/>
              <w:ind w:left="84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瀑布方法进度和任务管理</w:t>
            </w:r>
          </w:p>
          <w:p>
            <w:pPr>
              <w:tabs>
                <w:tab w:val="left" w:pos="840"/>
              </w:tabs>
              <w:adjustRightInd w:val="0"/>
              <w:snapToGrid w:val="0"/>
              <w:spacing w:line="276" w:lineRule="auto"/>
              <w:ind w:left="84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敏捷方法进度和任务管理</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大型IT项目任务外包管理</w:t>
            </w:r>
          </w:p>
          <w:p>
            <w:pPr>
              <w:tabs>
                <w:tab w:val="left" w:pos="840"/>
              </w:tabs>
              <w:adjustRightInd w:val="0"/>
              <w:snapToGrid w:val="0"/>
              <w:spacing w:line="276" w:lineRule="auto"/>
              <w:ind w:left="84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任务拆分原则</w:t>
            </w:r>
          </w:p>
          <w:p>
            <w:pPr>
              <w:tabs>
                <w:tab w:val="left" w:pos="840"/>
              </w:tabs>
              <w:adjustRightInd w:val="0"/>
              <w:snapToGrid w:val="0"/>
              <w:spacing w:line="276" w:lineRule="auto"/>
              <w:ind w:left="84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外包任务分配与管理</w:t>
            </w:r>
          </w:p>
          <w:p>
            <w:pPr>
              <w:numPr>
                <w:ilvl w:val="0"/>
                <w:numId w:val="4"/>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大型IT项目后评估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大型IT项目治理机制与制度体系建设</w:t>
            </w:r>
          </w:p>
        </w:tc>
        <w:tc>
          <w:tcPr>
            <w:tcW w:w="6095" w:type="dxa"/>
          </w:tcPr>
          <w:p>
            <w:p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大型项目的集中管理机制</w:t>
            </w:r>
          </w:p>
          <w:p>
            <w:pPr>
              <w:numPr>
                <w:ilvl w:val="0"/>
                <w:numId w:val="5"/>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项目管理委员会章程</w:t>
            </w:r>
          </w:p>
          <w:p>
            <w:pPr>
              <w:numPr>
                <w:ilvl w:val="0"/>
                <w:numId w:val="5"/>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集团化项目管理标准</w:t>
            </w:r>
          </w:p>
          <w:p>
            <w:pPr>
              <w:numPr>
                <w:ilvl w:val="0"/>
                <w:numId w:val="5"/>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项目管理体系</w:t>
            </w:r>
          </w:p>
          <w:p>
            <w:pPr>
              <w:numPr>
                <w:ilvl w:val="0"/>
                <w:numId w:val="5"/>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项目绩效管理标准</w:t>
            </w:r>
          </w:p>
          <w:p>
            <w:pPr>
              <w:numPr>
                <w:ilvl w:val="0"/>
                <w:numId w:val="5"/>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岗位职责矩阵</w:t>
            </w:r>
          </w:p>
          <w:p>
            <w:pPr>
              <w:tabs>
                <w:tab w:val="left" w:pos="834"/>
              </w:tabs>
              <w:adjustRightInd w:val="0"/>
              <w:snapToGrid w:val="0"/>
              <w:spacing w:line="276" w:lineRule="auto"/>
              <w:ind w:left="834"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敏捷开发团队BA</w:t>
            </w:r>
            <w:r>
              <w:rPr>
                <w:rFonts w:ascii="宋体" w:hAnsi="宋体" w:cs="宋体"/>
                <w:color w:val="000000" w:themeColor="text1"/>
                <w:sz w:val="24"/>
                <w:szCs w:val="24"/>
                <w14:textFill>
                  <w14:solidFill>
                    <w14:schemeClr w14:val="tx1"/>
                  </w14:solidFill>
                </w14:textFill>
              </w:rPr>
              <w:t>,DEV,PM</w:t>
            </w:r>
            <w:r>
              <w:rPr>
                <w:rFonts w:hint="eastAsia" w:ascii="宋体" w:hAnsi="宋体" w:cs="宋体"/>
                <w:color w:val="000000" w:themeColor="text1"/>
                <w:sz w:val="24"/>
                <w:szCs w:val="24"/>
                <w14:textFill>
                  <w14:solidFill>
                    <w14:schemeClr w14:val="tx1"/>
                  </w14:solidFill>
                </w14:textFill>
              </w:rPr>
              <w:t>职责提升</w:t>
            </w:r>
          </w:p>
          <w:p>
            <w:p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大型项目其它集中管控方法</w:t>
            </w:r>
          </w:p>
          <w:p>
            <w:pPr>
              <w:numPr>
                <w:ilvl w:val="0"/>
                <w:numId w:val="6"/>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COBIT下的IT治理管控</w:t>
            </w:r>
          </w:p>
          <w:p>
            <w:pPr>
              <w:numPr>
                <w:ilvl w:val="0"/>
                <w:numId w:val="6"/>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TOGAF下的IT治理管控</w:t>
            </w:r>
          </w:p>
          <w:p>
            <w:pPr>
              <w:numPr>
                <w:ilvl w:val="0"/>
                <w:numId w:val="6"/>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IPMT 下的集成管理方法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第一天</w:t>
            </w: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下午</w:t>
            </w: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IT外包项目采购与合同管理</w:t>
            </w:r>
          </w:p>
        </w:tc>
        <w:tc>
          <w:tcPr>
            <w:tcW w:w="6095" w:type="dxa"/>
            <w:vAlign w:val="center"/>
          </w:tcPr>
          <w:p>
            <w:p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IT外包项目采购与合同管理</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IT外包需求管理</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IT外包决策和采购管理</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IT外包选型和商务合同管理</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IT外包治理模式</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IT外包项目组合管理</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IT外包绩效管理</w:t>
            </w:r>
          </w:p>
          <w:p>
            <w:pPr>
              <w:numPr>
                <w:ilvl w:val="0"/>
                <w:numId w:val="7"/>
              </w:numPr>
              <w:adjustRightInd w:val="0"/>
              <w:snapToGrid w:val="0"/>
              <w:spacing w:line="276"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合作伙伴关系管理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IT项目来源、论证、立项与启动</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IT项目的来源、论证、立项与启动过程</w:t>
            </w:r>
          </w:p>
          <w:p>
            <w:pPr>
              <w:numPr>
                <w:ilvl w:val="0"/>
                <w:numId w:val="8"/>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IT项目的两类主要来源</w:t>
            </w:r>
          </w:p>
          <w:p>
            <w:pPr>
              <w:numPr>
                <w:ilvl w:val="0"/>
                <w:numId w:val="8"/>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产品类项目的论证过程</w:t>
            </w:r>
          </w:p>
          <w:p>
            <w:pPr>
              <w:numPr>
                <w:ilvl w:val="0"/>
                <w:numId w:val="8"/>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企业客户类项目的论证过程</w:t>
            </w:r>
          </w:p>
          <w:p>
            <w:pPr>
              <w:numPr>
                <w:ilvl w:val="0"/>
                <w:numId w:val="8"/>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项目立项的过程</w:t>
            </w:r>
          </w:p>
          <w:p>
            <w:pPr>
              <w:numPr>
                <w:ilvl w:val="0"/>
                <w:numId w:val="8"/>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项目启动阶段需要开展的典型工作:</w:t>
            </w:r>
          </w:p>
          <w:p>
            <w:pPr>
              <w:numPr>
                <w:ilvl w:val="0"/>
                <w:numId w:val="8"/>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组织结构对项目的影响</w:t>
            </w:r>
          </w:p>
          <w:p>
            <w:pPr>
              <w:adjustRightInd w:val="0"/>
              <w:snapToGrid w:val="0"/>
              <w:spacing w:line="276"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实战：两类项目启动类工作的练习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第二天</w:t>
            </w: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上午</w:t>
            </w: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Arial"/>
                <w:b/>
                <w:color w:val="000000" w:themeColor="text1"/>
                <w:kern w:val="0"/>
                <w:sz w:val="24"/>
                <w:szCs w:val="24"/>
                <w14:textFill>
                  <w14:solidFill>
                    <w14:schemeClr w14:val="tx1"/>
                  </w14:solidFill>
                </w14:textFill>
              </w:rPr>
              <w:t>项目规划之范围、进度、成本规划</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IT项目的核心过程规划--范围、进度、成本计划</w:t>
            </w:r>
          </w:p>
          <w:p>
            <w:pPr>
              <w:numPr>
                <w:ilvl w:val="0"/>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规划阶段各知识领域的逻辑关系梳理</w:t>
            </w:r>
          </w:p>
          <w:p>
            <w:pPr>
              <w:numPr>
                <w:ilvl w:val="0"/>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项目范围规划</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收集需求</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定义范围</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分解WBS</w:t>
            </w:r>
          </w:p>
          <w:p>
            <w:pPr>
              <w:numPr>
                <w:ilvl w:val="0"/>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项目进度规划</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分解活动</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排列活动顺序</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活动资源估算</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活动时间估算</w:t>
            </w:r>
          </w:p>
          <w:p>
            <w:pPr>
              <w:adjustRightInd w:val="0"/>
              <w:snapToGrid w:val="0"/>
              <w:spacing w:line="276" w:lineRule="auto"/>
              <w:ind w:left="84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乐观速率与悲观速率估算方法</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制定进度计划</w:t>
            </w:r>
          </w:p>
          <w:p>
            <w:pPr>
              <w:numPr>
                <w:ilvl w:val="0"/>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项目成本规划</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项目成本估算</w:t>
            </w:r>
          </w:p>
          <w:p>
            <w:pPr>
              <w:numPr>
                <w:ilvl w:val="1"/>
                <w:numId w:val="9"/>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制定项目预算</w:t>
            </w:r>
          </w:p>
          <w:p>
            <w:pPr>
              <w:adjustRightInd w:val="0"/>
              <w:snapToGrid w:val="0"/>
              <w:spacing w:line="276"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实战：实际完成完整案例的范围、进度、成本规划练习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Arial"/>
                <w:b/>
                <w:color w:val="000000" w:themeColor="text1"/>
                <w:kern w:val="0"/>
                <w:sz w:val="24"/>
                <w:szCs w:val="24"/>
                <w14:textFill>
                  <w14:solidFill>
                    <w14:schemeClr w14:val="tx1"/>
                  </w14:solidFill>
                </w14:textFill>
              </w:rPr>
              <w:t>项目规划之质量、人力资源、沟通、风险、采购规划</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IT项目的核心过程规划--</w:t>
            </w:r>
            <w:r>
              <w:rPr>
                <w:rFonts w:hint="eastAsia" w:ascii="宋体" w:hAnsi="宋体" w:cs="Arial"/>
                <w:color w:val="000000" w:themeColor="text1"/>
                <w:kern w:val="0"/>
                <w:sz w:val="24"/>
                <w:szCs w:val="24"/>
                <w14:textFill>
                  <w14:solidFill>
                    <w14:schemeClr w14:val="tx1"/>
                  </w14:solidFill>
                </w14:textFill>
              </w:rPr>
              <w:t>质量、人力资源、沟通、风险、采购</w:t>
            </w:r>
            <w:r>
              <w:rPr>
                <w:rFonts w:hint="eastAsia" w:ascii="宋体" w:hAnsi="宋体"/>
                <w:color w:val="000000" w:themeColor="text1"/>
                <w:sz w:val="24"/>
                <w:szCs w:val="24"/>
                <w14:textFill>
                  <w14:solidFill>
                    <w14:schemeClr w14:val="tx1"/>
                  </w14:solidFill>
                </w14:textFill>
              </w:rPr>
              <w:t>计划</w:t>
            </w:r>
          </w:p>
          <w:p>
            <w:pPr>
              <w:numPr>
                <w:ilvl w:val="0"/>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制定质量管理计划</w:t>
            </w:r>
          </w:p>
          <w:p>
            <w:pPr>
              <w:numPr>
                <w:ilvl w:val="0"/>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制定人力资源计划</w:t>
            </w:r>
          </w:p>
          <w:p>
            <w:pPr>
              <w:numPr>
                <w:ilvl w:val="0"/>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制定沟通管理计划与干系人管理计划</w:t>
            </w:r>
          </w:p>
          <w:p>
            <w:pPr>
              <w:adjustRightInd w:val="0"/>
              <w:snapToGrid w:val="0"/>
              <w:spacing w:line="276" w:lineRule="auto"/>
              <w:ind w:left="42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可视化沟通方法</w:t>
            </w:r>
          </w:p>
          <w:p>
            <w:pPr>
              <w:adjustRightInd w:val="0"/>
              <w:snapToGrid w:val="0"/>
              <w:spacing w:line="276" w:lineRule="auto"/>
              <w:ind w:left="42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团队信息辐射最大化对称方法</w:t>
            </w:r>
          </w:p>
          <w:p>
            <w:pPr>
              <w:numPr>
                <w:ilvl w:val="0"/>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项目风险规划</w:t>
            </w:r>
          </w:p>
          <w:p>
            <w:pPr>
              <w:adjustRightInd w:val="0"/>
              <w:snapToGrid w:val="0"/>
              <w:spacing w:line="276" w:lineRule="auto"/>
              <w:ind w:left="420"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开发迭代周期风险管控</w:t>
            </w:r>
          </w:p>
          <w:p>
            <w:pPr>
              <w:numPr>
                <w:ilvl w:val="1"/>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识别风险</w:t>
            </w:r>
          </w:p>
          <w:p>
            <w:pPr>
              <w:numPr>
                <w:ilvl w:val="1"/>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风险概率/影响分析</w:t>
            </w:r>
          </w:p>
          <w:p>
            <w:pPr>
              <w:numPr>
                <w:ilvl w:val="1"/>
                <w:numId w:val="10"/>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制定风险应对策略</w:t>
            </w:r>
          </w:p>
          <w:p>
            <w:pPr>
              <w:numPr>
                <w:ilvl w:val="0"/>
                <w:numId w:val="10"/>
              </w:numPr>
              <w:adjustRightInd w:val="0"/>
              <w:snapToGrid w:val="0"/>
              <w:spacing w:line="276" w:lineRule="auto"/>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项目采购规划</w:t>
            </w:r>
          </w:p>
          <w:p>
            <w:pPr>
              <w:adjustRightInd w:val="0"/>
              <w:snapToGrid w:val="0"/>
              <w:spacing w:line="276"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Arial"/>
                <w:b/>
                <w:bCs/>
                <w:color w:val="000000" w:themeColor="text1"/>
                <w:kern w:val="0"/>
                <w:sz w:val="24"/>
                <w:szCs w:val="24"/>
                <w14:textFill>
                  <w14:solidFill>
                    <w14:schemeClr w14:val="tx1"/>
                  </w14:solidFill>
                </w14:textFill>
              </w:rPr>
              <w:t>实战：</w:t>
            </w:r>
            <w:r>
              <w:rPr>
                <w:rFonts w:hint="eastAsia" w:ascii="宋体" w:hAnsi="宋体"/>
                <w:b/>
                <w:bCs/>
                <w:color w:val="000000" w:themeColor="text1"/>
                <w:sz w:val="24"/>
                <w:szCs w:val="24"/>
                <w14:textFill>
                  <w14:solidFill>
                    <w14:schemeClr w14:val="tx1"/>
                  </w14:solidFill>
                </w14:textFill>
              </w:rPr>
              <w:t>实际完成完整案例的质量、人力资源、沟通、风险、采购规划练习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第二天</w:t>
            </w: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下午</w:t>
            </w: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Arial"/>
                <w:b/>
                <w:color w:val="000000" w:themeColor="text1"/>
                <w:kern w:val="0"/>
                <w:sz w:val="24"/>
                <w:szCs w:val="24"/>
                <w14:textFill>
                  <w14:solidFill>
                    <w14:schemeClr w14:val="tx1"/>
                  </w14:solidFill>
                </w14:textFill>
              </w:rPr>
              <w:t>项目执行阶段的管理与实践</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IT项目的执行过程</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组建项目执行团队</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项目任务分工</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指导与管理项目工作</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如何解决IT项目执行中的高效协作问题</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如何解决项目中需求变化与版本控制</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项目执行中实用的管理经验推荐</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在项目管理工具中实时更新项目状态</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最佳开发实践经验分享</w:t>
            </w:r>
          </w:p>
          <w:p>
            <w:pPr>
              <w:numPr>
                <w:ilvl w:val="0"/>
                <w:numId w:val="11"/>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分布团队管控方法</w:t>
            </w:r>
          </w:p>
          <w:p>
            <w:pPr>
              <w:adjustRightInd w:val="0"/>
              <w:snapToGrid w:val="0"/>
              <w:spacing w:line="276"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实战：案例分析项目执行过程中的典型问题与挑战，分享实战中的最佳实践经验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Arial"/>
                <w:b/>
                <w:color w:val="000000" w:themeColor="text1"/>
                <w:kern w:val="0"/>
                <w:sz w:val="24"/>
                <w:szCs w:val="24"/>
                <w14:textFill>
                  <w14:solidFill>
                    <w14:schemeClr w14:val="tx1"/>
                  </w14:solidFill>
                </w14:textFill>
              </w:rPr>
              <w:t>项目监控阶段的管理与实践</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IT项目的监控过程</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收集项目的绩效数据，为项目做全面“体检”</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绩效评审，全面诊断项目的“健康状况”</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生成绩效报告</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与干系人沟通项目绩效</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项目变更控制</w:t>
            </w:r>
          </w:p>
          <w:p>
            <w:pPr>
              <w:numPr>
                <w:ilvl w:val="1"/>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变更请求</w:t>
            </w:r>
          </w:p>
          <w:p>
            <w:pPr>
              <w:numPr>
                <w:ilvl w:val="1"/>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变更控制流程</w:t>
            </w:r>
          </w:p>
          <w:p>
            <w:pPr>
              <w:numPr>
                <w:ilvl w:val="1"/>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变更控制委员会</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项目团队建设和团队管理</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发布项目成果</w:t>
            </w:r>
          </w:p>
          <w:p>
            <w:pPr>
              <w:numPr>
                <w:ilvl w:val="0"/>
                <w:numId w:val="12"/>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项目验收</w:t>
            </w:r>
          </w:p>
          <w:p>
            <w:pPr>
              <w:adjustRightInd w:val="0"/>
              <w:snapToGrid w:val="0"/>
              <w:spacing w:line="276"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案例分析：案例分析项目监控过程中的典型问题与挑战，重点探讨变更控制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cs="Arial"/>
                <w:b/>
                <w:color w:val="000000" w:themeColor="text1"/>
                <w:kern w:val="0"/>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基于项目管理工具的完整项目管理过程实践</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项目管理过程完整实战</w:t>
            </w:r>
          </w:p>
          <w:p>
            <w:pPr>
              <w:numPr>
                <w:ilvl w:val="0"/>
                <w:numId w:val="13"/>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项目管理工具的安装与配置</w:t>
            </w:r>
          </w:p>
          <w:p>
            <w:pPr>
              <w:numPr>
                <w:ilvl w:val="0"/>
                <w:numId w:val="13"/>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在项目管理工具中创建项目需求和开发计划</w:t>
            </w:r>
          </w:p>
          <w:p>
            <w:pPr>
              <w:numPr>
                <w:ilvl w:val="0"/>
                <w:numId w:val="13"/>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在项目管理工具中进行任务分工和跟踪</w:t>
            </w:r>
          </w:p>
          <w:p>
            <w:pPr>
              <w:numPr>
                <w:ilvl w:val="0"/>
                <w:numId w:val="13"/>
              </w:num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在项目管理工具中进行变更控制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需求实践现状分析</w:t>
            </w:r>
          </w:p>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1.软件项目成败与需求实践</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2.软件需求和需求工程概述</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3.透过表象，分析本质（需求问题的诊断）</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4.需求过程方法论</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5.需求模式经验谈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需求过程介绍</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1.需求的概念和需求分析的任务</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2.需求分析与软件生命周期的关系</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3.需求分析过程—需求分析的基本过程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从传统开发向敏捷开发转型中的问题和对策</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1.传统重量级的开发方法优缺点</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2.采用敏捷开发持续交付软件</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3.实现敏捷方法实践与开发过程流程和环节分析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2127" w:type="dxa"/>
            <w:vAlign w:val="center"/>
          </w:tcPr>
          <w:p>
            <w:pPr>
              <w:autoSpaceDE w:val="0"/>
              <w:autoSpaceDN w:val="0"/>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敏捷需求过程介绍</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1.敏捷需求定义</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2.需求的概念和需求分析的任务</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3.需求分析与软件生命周期的关系</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4.敏捷需求工作流程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8222" w:type="dxa"/>
            <w:gridSpan w:val="2"/>
            <w:vAlign w:val="center"/>
          </w:tcPr>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典型案例分析：</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分析需求捕获过程， 需求分析过程及其需求管理， 需求追溯过程分析优秀的的需求阶段如何完成，其中包括大型系统中软件需求阶段的大部分疑难点的解决方案。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restart"/>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第三天</w:t>
            </w:r>
          </w:p>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下午</w:t>
            </w:r>
          </w:p>
        </w:tc>
        <w:tc>
          <w:tcPr>
            <w:tcW w:w="2127" w:type="dxa"/>
            <w:vAlign w:val="center"/>
          </w:tcPr>
          <w:p>
            <w:pPr>
              <w:tabs>
                <w:tab w:val="left" w:pos="0"/>
              </w:tabs>
              <w:autoSpaceDE w:val="0"/>
              <w:autoSpaceDN w:val="0"/>
              <w:adjustRightInd w:val="0"/>
              <w:snapToGrid w:val="0"/>
              <w:spacing w:line="276" w:lineRule="auto"/>
              <w:ind w:hanging="3"/>
              <w:jc w:val="center"/>
              <w:rPr>
                <w:rFonts w:ascii="宋体" w:hAnsi="宋体"/>
                <w:b/>
                <w:color w:val="000000" w:themeColor="text1"/>
                <w:sz w:val="24"/>
                <w:szCs w:val="24"/>
                <w14:textFill>
                  <w14:solidFill>
                    <w14:schemeClr w14:val="tx1"/>
                  </w14:solidFill>
                </w14:textFill>
              </w:rPr>
            </w:pPr>
          </w:p>
          <w:p>
            <w:pPr>
              <w:tabs>
                <w:tab w:val="left" w:pos="0"/>
              </w:tabs>
              <w:autoSpaceDE w:val="0"/>
              <w:autoSpaceDN w:val="0"/>
              <w:adjustRightInd w:val="0"/>
              <w:snapToGrid w:val="0"/>
              <w:spacing w:line="276" w:lineRule="auto"/>
              <w:ind w:hanging="3"/>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需求捕获策略</w:t>
            </w:r>
          </w:p>
          <w:p>
            <w:pPr>
              <w:tabs>
                <w:tab w:val="left" w:pos="0"/>
              </w:tabs>
              <w:autoSpaceDE w:val="0"/>
              <w:autoSpaceDN w:val="0"/>
              <w:adjustRightInd w:val="0"/>
              <w:snapToGrid w:val="0"/>
              <w:spacing w:line="276" w:lineRule="auto"/>
              <w:ind w:hanging="3"/>
              <w:jc w:val="center"/>
              <w:rPr>
                <w:rFonts w:ascii="宋体" w:hAnsi="宋体"/>
                <w:b/>
                <w:color w:val="000000" w:themeColor="text1"/>
                <w:sz w:val="24"/>
                <w:szCs w:val="24"/>
                <w14:textFill>
                  <w14:solidFill>
                    <w14:schemeClr w14:val="tx1"/>
                  </w14:solidFill>
                </w14:textFill>
              </w:rPr>
            </w:pPr>
          </w:p>
          <w:p>
            <w:pPr>
              <w:tabs>
                <w:tab w:val="left" w:pos="0"/>
              </w:tabs>
              <w:autoSpaceDE w:val="0"/>
              <w:autoSpaceDN w:val="0"/>
              <w:adjustRightInd w:val="0"/>
              <w:snapToGrid w:val="0"/>
              <w:spacing w:line="276" w:lineRule="auto"/>
              <w:rPr>
                <w:rFonts w:ascii="宋体" w:hAnsi="宋体"/>
                <w:b/>
                <w:color w:val="000000" w:themeColor="text1"/>
                <w:sz w:val="24"/>
                <w:szCs w:val="24"/>
                <w14:textFill>
                  <w14:solidFill>
                    <w14:schemeClr w14:val="tx1"/>
                  </w14:solidFill>
                </w14:textFill>
              </w:rPr>
            </w:pP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1.需求捕获策略</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2.需求捕获的主要障碍与应对</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3.需求捕获时的用户心理模型与应对之道</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4.需求协商的策略与技巧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20" w:firstLineChars="200"/>
            </w:pPr>
          </w:p>
        </w:tc>
        <w:tc>
          <w:tcPr>
            <w:tcW w:w="2127" w:type="dxa"/>
            <w:vAlign w:val="center"/>
          </w:tcPr>
          <w:p>
            <w:pPr>
              <w:adjustRightInd w:val="0"/>
              <w:snapToGrid w:val="0"/>
              <w:spacing w:line="276" w:lineRule="auto"/>
              <w:jc w:val="center"/>
            </w:pPr>
            <w:r>
              <w:rPr>
                <w:rFonts w:hint="eastAsia" w:ascii="宋体" w:hAnsi="宋体"/>
                <w:b/>
                <w:bCs/>
                <w:color w:val="000000" w:themeColor="text1"/>
                <w:sz w:val="24"/>
                <w:szCs w:val="24"/>
                <w14:textFill>
                  <w14:solidFill>
                    <w14:schemeClr w14:val="tx1"/>
                  </w14:solidFill>
                </w14:textFill>
              </w:rPr>
              <w:t>需求捕获的主要方法与问题分析</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1.用户访谈的操作要点与误区分析</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2.用户调查的操作要点与误区分析</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3.文档研究的操作要点与误区分析</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4.原型法的操作要点与误区分析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需求捕获的相关工具</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1.任务卡片</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2.场景描述</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3.需求捕获工具的选用、设计的核心思想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需求分析的方法</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1.面向对象的分析方法</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2.面向问题域的分析方法</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UML</w:t>
            </w:r>
            <w:r>
              <w:rPr>
                <w:rFonts w:hint="eastAsia" w:ascii="宋体" w:hAnsi="宋体"/>
                <w:color w:val="000000" w:themeColor="text1"/>
                <w:sz w:val="24"/>
                <w:szCs w:val="24"/>
                <w14:textFill>
                  <w14:solidFill>
                    <w14:schemeClr w14:val="tx1"/>
                  </w14:solidFill>
                </w14:textFill>
              </w:rPr>
              <w:t>表示法介绍与需求建模要点总结</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4.需求的原型制作</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5.业务流程，业务实体和场景分析</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6.非功能需求的分析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基于用例技术的需求分析</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1.用例基础</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2.用例模型概述</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3.使用基于业务事件分析用例</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4.用例颗粒度分析</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5.开发用例模型实践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需求分析的后续周期：确定需求细节</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1.用例的类型（业务、报表、接口、技术）及应用要点</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2.业务类用例的细化</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3.分析业务活动细节：事件流</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相关工具：活动图</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4.用户界面原型分析、约束与规则描述</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5.原始需求、用例、功能点之间的关系</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6.需求分析结果对测试的影响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需求分析实践</w:t>
            </w:r>
          </w:p>
        </w:tc>
        <w:tc>
          <w:tcPr>
            <w:tcW w:w="6095" w:type="dxa"/>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实战演练：财富系统需求分析案例实践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restart"/>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第四天上午</w:t>
            </w: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非功能型需求的分析</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1.非功能性需求标准</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2.性能、安全</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3.可靠性、可移植性、可维护性、可用性</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4.设计约束分析</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5.设计非功能性需求指标</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6.非功能性需求分析方法</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7.非功能性需求验证方法</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案例：非功能性需求分析的实现过程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编写需求规格说明书</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1.从沟通、写作的角度提升水平</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2.需求规格说明书格式与内容</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3.需求规格说明书编写策略与技巧</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4.需求规格说明书常见的模板</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5.基于</w:t>
            </w:r>
            <w:r>
              <w:rPr>
                <w:rFonts w:ascii="宋体" w:hAnsi="宋体"/>
                <w:color w:val="000000" w:themeColor="text1"/>
                <w:sz w:val="24"/>
                <w:szCs w:val="24"/>
                <w14:textFill>
                  <w14:solidFill>
                    <w14:schemeClr w14:val="tx1"/>
                  </w14:solidFill>
                </w14:textFill>
              </w:rPr>
              <w:t>CMMI</w:t>
            </w:r>
            <w:r>
              <w:rPr>
                <w:rFonts w:hint="eastAsia" w:ascii="宋体" w:hAnsi="宋体"/>
                <w:color w:val="000000" w:themeColor="text1"/>
                <w:sz w:val="24"/>
                <w:szCs w:val="24"/>
                <w14:textFill>
                  <w14:solidFill>
                    <w14:schemeClr w14:val="tx1"/>
                  </w14:solidFill>
                </w14:textFill>
              </w:rPr>
              <w:t>的需求规格说明书、基于</w:t>
            </w:r>
            <w:r>
              <w:rPr>
                <w:rFonts w:ascii="宋体" w:hAnsi="宋体"/>
                <w:color w:val="000000" w:themeColor="text1"/>
                <w:sz w:val="24"/>
                <w:szCs w:val="24"/>
                <w14:textFill>
                  <w14:solidFill>
                    <w14:schemeClr w14:val="tx1"/>
                  </w14:solidFill>
                </w14:textFill>
              </w:rPr>
              <w:t>Agile</w:t>
            </w:r>
            <w:r>
              <w:rPr>
                <w:rFonts w:hint="eastAsia" w:ascii="宋体" w:hAnsi="宋体"/>
                <w:color w:val="000000" w:themeColor="text1"/>
                <w:sz w:val="24"/>
                <w:szCs w:val="24"/>
                <w14:textFill>
                  <w14:solidFill>
                    <w14:schemeClr w14:val="tx1"/>
                  </w14:solidFill>
                </w14:textFill>
              </w:rPr>
              <w:t>的需求规格说明书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需求验证操作实务</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1.需求验证的主要手段分析</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2.需求评审的常见误区与应对之道</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案例研究：大型系统项目需求实例文档分析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需求管理</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1.需求管理和过程能力成熟度模型</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2.需求管理步骤</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3.需求规格说明的版本控制、需求属性、度量需求管理的效果</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4.需求分析时要不要考虑设计与实现</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5.需求的全生命周期管理</w:t>
            </w:r>
          </w:p>
          <w:p>
            <w:pPr>
              <w:adjustRightInd w:val="0"/>
              <w:snapToGrid w:val="0"/>
              <w:spacing w:line="276"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6.需求组解散后</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谁来负责需求的管理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restart"/>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第四天下午</w:t>
            </w: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需求变更管理</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1.控制项目范围的扩展</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2.变更控制过程</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3.变更控制委员会</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4.测量变更活动</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5.变更请求决策分析</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6.变更会审与确认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需求跟踪管理</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1.跟踪管理的理念</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2.需求跟踪的目标</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3.需求跟踪需要的工具支持</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4.需求跟踪工具</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5.需求跟踪过程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需求管理的最佳实践</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1.如何控制需求膨胀与蔓延</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2.需求调研分析中的项目干系人概念</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3.让软件项目在不断的需求变化中获得成功</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4.甲乙方关于需求的理解的差异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129" w:type="dxa"/>
            <w:vMerge w:val="continue"/>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p>
        </w:tc>
        <w:tc>
          <w:tcPr>
            <w:tcW w:w="2127" w:type="dxa"/>
            <w:vAlign w:val="center"/>
          </w:tcPr>
          <w:p>
            <w:pPr>
              <w:adjustRightInd w:val="0"/>
              <w:snapToGrid w:val="0"/>
              <w:spacing w:line="276"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需求管理工具</w:t>
            </w:r>
          </w:p>
        </w:tc>
        <w:tc>
          <w:tcPr>
            <w:tcW w:w="6095" w:type="dxa"/>
            <w:vAlign w:val="center"/>
          </w:tcPr>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1.需求管理工具的设计思想</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2.需求管理工具的基本功能演示</w:t>
            </w:r>
          </w:p>
          <w:p>
            <w:pPr>
              <w:adjustRightInd w:val="0"/>
              <w:snapToGrid w:val="0"/>
              <w:spacing w:line="276"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3.版本控制、基线、跟踪、变更的演示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29" w:type="dxa"/>
            <w:vMerge w:val="continue"/>
            <w:vAlign w:val="center"/>
          </w:tcPr>
          <w:p>
            <w:pPr>
              <w:adjustRightInd w:val="0"/>
              <w:snapToGrid w:val="0"/>
              <w:spacing w:line="276" w:lineRule="auto"/>
              <w:jc w:val="center"/>
              <w:rPr>
                <w:rFonts w:ascii="宋体" w:hAnsi="宋体"/>
                <w:b/>
                <w:color w:val="000000" w:themeColor="text1"/>
                <w:sz w:val="24"/>
                <w:szCs w:val="24"/>
                <w14:textFill>
                  <w14:solidFill>
                    <w14:schemeClr w14:val="tx1"/>
                  </w14:solidFill>
                </w14:textFill>
              </w:rPr>
            </w:pPr>
          </w:p>
        </w:tc>
        <w:tc>
          <w:tcPr>
            <w:tcW w:w="8222" w:type="dxa"/>
            <w:gridSpan w:val="2"/>
            <w:vAlign w:val="center"/>
          </w:tcPr>
          <w:p>
            <w:pPr>
              <w:adjustRightInd w:val="0"/>
              <w:snapToGrid w:val="0"/>
              <w:spacing w:line="276" w:lineRule="auto"/>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实战演练：以一个信息化系统构建为背景， 进行需求分析的完整案例， 其中包括背景分析，需求采集，需求分析等过程步骤。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gridSpan w:val="3"/>
            <w:vAlign w:val="center"/>
          </w:tcPr>
          <w:p>
            <w:pPr>
              <w:adjustRightInd w:val="0"/>
              <w:snapToGrid w:val="0"/>
              <w:spacing w:line="276" w:lineRule="auto"/>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总结与交流</w:t>
            </w:r>
          </w:p>
        </w:tc>
      </w:tr>
    </w:tbl>
    <w:p>
      <w:pPr>
        <w:adjustRightInd w:val="0"/>
        <w:snapToGrid w:val="0"/>
        <w:spacing w:line="400" w:lineRule="exact"/>
        <w:ind w:left="170"/>
        <w:rPr>
          <w:rFonts w:ascii="宋体" w:hAnsi="宋体" w:cs="仿宋_GB2312"/>
          <w:b/>
          <w:bCs/>
          <w:color w:val="000000"/>
          <w:sz w:val="28"/>
          <w:szCs w:val="28"/>
        </w:rPr>
      </w:pPr>
    </w:p>
    <w:p>
      <w:pPr>
        <w:widowControl/>
        <w:jc w:val="left"/>
        <w:rPr>
          <w:rFonts w:ascii="宋体" w:hAnsi="宋体" w:cs="仿宋_GB2312"/>
          <w:b/>
          <w:bCs/>
          <w:color w:val="000000"/>
          <w:sz w:val="28"/>
          <w:szCs w:val="28"/>
        </w:rPr>
      </w:pPr>
      <w:r>
        <w:rPr>
          <w:rFonts w:hint="eastAsia" w:ascii="宋体" w:hAnsi="宋体" w:cs="仿宋_GB2312"/>
          <w:b/>
          <w:bCs/>
          <w:color w:val="000000"/>
          <w:sz w:val="28"/>
          <w:szCs w:val="28"/>
        </w:rPr>
        <w:t>四、授课专家</w:t>
      </w:r>
    </w:p>
    <w:p>
      <w:pPr>
        <w:adjustRightInd w:val="0"/>
        <w:snapToGrid w:val="0"/>
        <w:spacing w:before="240" w:line="400" w:lineRule="exact"/>
        <w:ind w:firstLine="257" w:firstLineChars="100"/>
        <w:rPr>
          <w:rFonts w:ascii="宋体" w:hAnsi="宋体"/>
          <w:bCs/>
          <w:color w:val="000000"/>
          <w:spacing w:val="8"/>
          <w:sz w:val="24"/>
          <w:szCs w:val="21"/>
        </w:rPr>
      </w:pPr>
      <w:r>
        <w:rPr>
          <w:rFonts w:hint="eastAsia" w:ascii="宋体" w:hAnsi="宋体"/>
          <w:b/>
          <w:color w:val="000000"/>
          <w:spacing w:val="8"/>
          <w:sz w:val="24"/>
          <w:szCs w:val="21"/>
        </w:rPr>
        <w:t xml:space="preserve">程老师  </w:t>
      </w:r>
      <w:r>
        <w:rPr>
          <w:rFonts w:hint="eastAsia" w:ascii="宋体" w:hAnsi="宋体"/>
          <w:bCs/>
          <w:color w:val="000000"/>
          <w:spacing w:val="8"/>
          <w:sz w:val="24"/>
          <w:szCs w:val="21"/>
        </w:rPr>
        <w:t>中国第一批分析设计师、UML/UP专家、UP统一软件过程资深教练（国内首位软件项目过程教练）、需求专家，国内较早引入模型驱动开发方法的倡导人之一、国内最早的UP过程推动人之一。擅长企业级应用分析设计与开发；对软件开发的整个流程有深刻认识，有很好的协作精神和学习能力。在系统分析设计和开发方面均有丰富经验。能够结合实际,在复杂的应用环境中能够选择适合需求分析方法定义并改进需求规格说明,降低项目开发风险、缩短开发周期、提高应用系统的可维护性和可扩展性。。</w:t>
      </w:r>
    </w:p>
    <w:p>
      <w:pPr>
        <w:tabs>
          <w:tab w:val="left" w:pos="10080"/>
        </w:tabs>
        <w:adjustRightInd w:val="0"/>
        <w:snapToGrid w:val="0"/>
        <w:spacing w:line="400" w:lineRule="exact"/>
        <w:ind w:firstLine="514" w:firstLineChars="200"/>
        <w:rPr>
          <w:rFonts w:ascii="宋体" w:hAnsi="宋体"/>
          <w:color w:val="000000"/>
          <w:spacing w:val="8"/>
          <w:sz w:val="24"/>
          <w:szCs w:val="21"/>
        </w:rPr>
      </w:pPr>
      <w:r>
        <w:rPr>
          <w:rFonts w:hint="eastAsia" w:ascii="宋体" w:hAnsi="宋体"/>
          <w:b/>
          <w:color w:val="000000"/>
          <w:spacing w:val="8"/>
          <w:sz w:val="24"/>
          <w:szCs w:val="21"/>
        </w:rPr>
        <w:t xml:space="preserve">郭老师 </w:t>
      </w:r>
      <w:r>
        <w:rPr>
          <w:rFonts w:ascii="宋体" w:hAnsi="宋体"/>
          <w:b/>
          <w:color w:val="000000"/>
          <w:spacing w:val="8"/>
          <w:sz w:val="24"/>
          <w:szCs w:val="21"/>
        </w:rPr>
        <w:t xml:space="preserve"> </w:t>
      </w:r>
      <w:r>
        <w:rPr>
          <w:rFonts w:hint="eastAsia" w:ascii="宋体" w:hAnsi="宋体"/>
          <w:bCs/>
          <w:color w:val="000000"/>
          <w:spacing w:val="8"/>
          <w:sz w:val="24"/>
          <w:szCs w:val="21"/>
        </w:rPr>
        <w:t>中国</w:t>
      </w:r>
      <w:r>
        <w:rPr>
          <w:rFonts w:ascii="宋体" w:hAnsi="宋体"/>
          <w:bCs/>
          <w:color w:val="000000"/>
          <w:spacing w:val="8"/>
          <w:sz w:val="24"/>
          <w:szCs w:val="21"/>
        </w:rPr>
        <w:t>科技和信息化专家库专家，10年以上软件开发实战与培训经验，iOS、安卓和H5等跨平台多项目开发实战培训专家。擅长技术领域：移动项目开发及项目管理，熟悉IOS APP开发、安卓APP和H5跨平台开发技术，采用SRUM敏捷开发方式进行项目管理。获得的专业认证和资质有：2011年通过了PMP项目管理认证</w:t>
      </w:r>
      <w:r>
        <w:rPr>
          <w:rFonts w:hint="eastAsia" w:ascii="宋体" w:hAnsi="宋体"/>
          <w:bCs/>
          <w:color w:val="000000"/>
          <w:spacing w:val="8"/>
          <w:sz w:val="24"/>
          <w:szCs w:val="21"/>
        </w:rPr>
        <w:t>、</w:t>
      </w:r>
      <w:r>
        <w:rPr>
          <w:rFonts w:ascii="宋体" w:hAnsi="宋体"/>
          <w:bCs/>
          <w:color w:val="000000"/>
          <w:spacing w:val="8"/>
          <w:sz w:val="24"/>
          <w:szCs w:val="21"/>
        </w:rPr>
        <w:t>2013年通过了系统分析师（计算机技术与软件专业技术高级资格）</w:t>
      </w:r>
      <w:r>
        <w:rPr>
          <w:rFonts w:hint="eastAsia" w:ascii="宋体" w:hAnsi="宋体"/>
          <w:bCs/>
          <w:color w:val="000000"/>
          <w:spacing w:val="8"/>
          <w:sz w:val="24"/>
          <w:szCs w:val="21"/>
        </w:rPr>
        <w:t>、</w:t>
      </w:r>
      <w:r>
        <w:rPr>
          <w:rFonts w:ascii="宋体" w:hAnsi="宋体"/>
          <w:bCs/>
          <w:color w:val="000000"/>
          <w:spacing w:val="8"/>
          <w:sz w:val="24"/>
          <w:szCs w:val="21"/>
        </w:rPr>
        <w:t>2014年通过信息系统项目管理师（计算机技术与软件专业技术高级资格）,</w:t>
      </w:r>
      <w:r>
        <w:rPr>
          <w:rFonts w:hint="eastAsia" w:ascii="宋体" w:hAnsi="宋体"/>
          <w:bCs/>
          <w:color w:val="000000"/>
          <w:spacing w:val="8"/>
          <w:sz w:val="24"/>
          <w:szCs w:val="21"/>
        </w:rPr>
        <w:t>做过二十几个大型项目，项目经理经验特别丰富。培训几百场，获得学员好评</w:t>
      </w:r>
      <w:r>
        <w:rPr>
          <w:rFonts w:hint="eastAsia" w:ascii="宋体" w:hAnsi="宋体"/>
          <w:color w:val="000000"/>
          <w:spacing w:val="8"/>
          <w:sz w:val="24"/>
          <w:szCs w:val="21"/>
        </w:rPr>
        <w:t>。</w:t>
      </w:r>
    </w:p>
    <w:p>
      <w:pPr>
        <w:adjustRightInd w:val="0"/>
        <w:snapToGrid w:val="0"/>
        <w:spacing w:before="240" w:line="400" w:lineRule="exact"/>
        <w:rPr>
          <w:rFonts w:ascii="宋体" w:hAnsi="宋体" w:cs="仿宋_GB2312"/>
          <w:b/>
          <w:bCs/>
          <w:color w:val="000000"/>
          <w:sz w:val="28"/>
          <w:szCs w:val="28"/>
        </w:rPr>
      </w:pPr>
      <w:r>
        <w:rPr>
          <w:rFonts w:hint="eastAsia" w:ascii="宋体" w:hAnsi="宋体" w:cs="仿宋_GB2312"/>
          <w:b/>
          <w:bCs/>
          <w:color w:val="000000"/>
          <w:sz w:val="28"/>
          <w:szCs w:val="28"/>
        </w:rPr>
        <w:t>五、培训费用</w:t>
      </w:r>
    </w:p>
    <w:p>
      <w:pPr>
        <w:snapToGrid w:val="0"/>
        <w:spacing w:line="400" w:lineRule="exact"/>
        <w:ind w:firstLine="512" w:firstLineChars="200"/>
        <w:rPr>
          <w:rFonts w:hint="eastAsia" w:ascii="宋体" w:hAnsi="宋体" w:eastAsia="宋体" w:cs="宋体"/>
          <w:color w:val="000000"/>
          <w:spacing w:val="8"/>
          <w:sz w:val="24"/>
          <w:szCs w:val="21"/>
          <w:lang w:eastAsia="zh-CN"/>
        </w:rPr>
      </w:pPr>
      <w:r>
        <w:rPr>
          <w:rFonts w:hint="eastAsia" w:ascii="宋体" w:hAnsi="宋体" w:eastAsia="宋体" w:cs="宋体"/>
          <w:color w:val="000000"/>
          <w:spacing w:val="8"/>
          <w:sz w:val="24"/>
          <w:szCs w:val="21"/>
          <w:lang w:val="en-US" w:eastAsia="zh-CN"/>
        </w:rPr>
        <w:t>线下面授</w:t>
      </w:r>
      <w:r>
        <w:rPr>
          <w:rFonts w:hint="eastAsia" w:ascii="宋体" w:hAnsi="宋体" w:eastAsia="宋体" w:cs="宋体"/>
          <w:color w:val="000000"/>
          <w:spacing w:val="8"/>
          <w:sz w:val="24"/>
          <w:szCs w:val="21"/>
        </w:rPr>
        <w:t>培训费</w:t>
      </w:r>
      <w:r>
        <w:rPr>
          <w:rFonts w:hint="eastAsia" w:ascii="宋体" w:hAnsi="宋体" w:cs="宋体"/>
          <w:color w:val="000000"/>
          <w:spacing w:val="8"/>
          <w:sz w:val="24"/>
          <w:szCs w:val="21"/>
          <w:lang w:val="en-US" w:eastAsia="zh-CN"/>
        </w:rPr>
        <w:t>8</w:t>
      </w:r>
      <w:r>
        <w:rPr>
          <w:rFonts w:hint="eastAsia" w:ascii="宋体" w:hAnsi="宋体" w:eastAsia="宋体" w:cs="宋体"/>
          <w:color w:val="000000"/>
          <w:spacing w:val="8"/>
          <w:sz w:val="24"/>
          <w:szCs w:val="21"/>
        </w:rPr>
        <w:t>800元/人（含培训费、场地费、资料费、学习期间午餐</w:t>
      </w:r>
      <w:r>
        <w:rPr>
          <w:rFonts w:hint="eastAsia" w:ascii="宋体" w:hAnsi="宋体" w:eastAsia="宋体" w:cs="宋体"/>
          <w:color w:val="000000"/>
          <w:spacing w:val="8"/>
          <w:sz w:val="24"/>
          <w:szCs w:val="21"/>
          <w:lang w:val="en-US" w:eastAsia="zh-CN"/>
        </w:rPr>
        <w:t>以及录播视频回放一年</w:t>
      </w:r>
      <w:r>
        <w:rPr>
          <w:rFonts w:hint="eastAsia" w:ascii="宋体" w:hAnsi="宋体" w:eastAsia="宋体" w:cs="宋体"/>
          <w:color w:val="000000"/>
          <w:spacing w:val="8"/>
          <w:sz w:val="24"/>
          <w:szCs w:val="21"/>
        </w:rPr>
        <w:t>）食宿可统一安排，费用自理</w:t>
      </w:r>
      <w:r>
        <w:rPr>
          <w:rFonts w:hint="eastAsia" w:ascii="宋体" w:hAnsi="宋体" w:eastAsia="宋体" w:cs="宋体"/>
          <w:color w:val="000000"/>
          <w:spacing w:val="8"/>
          <w:sz w:val="24"/>
          <w:szCs w:val="21"/>
          <w:lang w:eastAsia="zh-CN"/>
        </w:rPr>
        <w:t>。</w:t>
      </w:r>
    </w:p>
    <w:p>
      <w:pPr>
        <w:snapToGrid w:val="0"/>
        <w:spacing w:line="400" w:lineRule="exact"/>
        <w:ind w:firstLine="512" w:firstLineChars="200"/>
        <w:rPr>
          <w:rFonts w:ascii="宋体" w:hAnsi="宋体"/>
          <w:color w:val="000000"/>
          <w:spacing w:val="8"/>
          <w:sz w:val="24"/>
          <w:szCs w:val="21"/>
        </w:rPr>
      </w:pPr>
      <w:r>
        <w:rPr>
          <w:rFonts w:hint="eastAsia" w:ascii="宋体" w:hAnsi="宋体" w:eastAsia="宋体" w:cs="宋体"/>
          <w:color w:val="000000"/>
          <w:spacing w:val="8"/>
          <w:sz w:val="24"/>
          <w:szCs w:val="21"/>
          <w:lang w:val="en-US" w:eastAsia="zh-CN"/>
        </w:rPr>
        <w:t>网络直播培训费：</w:t>
      </w:r>
      <w:r>
        <w:rPr>
          <w:rFonts w:hint="eastAsia" w:ascii="宋体" w:hAnsi="宋体" w:cs="宋体"/>
          <w:color w:val="000000"/>
          <w:spacing w:val="8"/>
          <w:sz w:val="24"/>
          <w:szCs w:val="21"/>
          <w:lang w:val="en-US" w:eastAsia="zh-CN"/>
        </w:rPr>
        <w:t>7</w:t>
      </w:r>
      <w:r>
        <w:rPr>
          <w:rFonts w:hint="eastAsia" w:ascii="宋体" w:hAnsi="宋体" w:eastAsia="宋体" w:cs="宋体"/>
          <w:color w:val="000000"/>
          <w:spacing w:val="8"/>
          <w:sz w:val="24"/>
          <w:szCs w:val="21"/>
          <w:lang w:val="en-US" w:eastAsia="zh-CN"/>
        </w:rPr>
        <w:t>800元</w:t>
      </w:r>
      <w:r>
        <w:rPr>
          <w:rFonts w:hint="eastAsia" w:ascii="宋体" w:hAnsi="宋体" w:eastAsia="宋体" w:cs="宋体"/>
          <w:color w:val="000000"/>
          <w:spacing w:val="8"/>
          <w:sz w:val="24"/>
          <w:szCs w:val="21"/>
        </w:rPr>
        <w:t>/人</w:t>
      </w:r>
      <w:r>
        <w:rPr>
          <w:rFonts w:hint="eastAsia" w:ascii="宋体" w:hAnsi="宋体" w:eastAsia="宋体" w:cs="宋体"/>
          <w:color w:val="000000"/>
          <w:spacing w:val="8"/>
          <w:sz w:val="24"/>
          <w:szCs w:val="21"/>
          <w:lang w:val="en-US" w:eastAsia="zh-CN"/>
        </w:rPr>
        <w:t>（</w:t>
      </w:r>
      <w:r>
        <w:rPr>
          <w:rFonts w:hint="eastAsia" w:ascii="宋体" w:hAnsi="宋体" w:eastAsia="宋体" w:cs="宋体"/>
          <w:color w:val="000000"/>
          <w:spacing w:val="8"/>
          <w:sz w:val="24"/>
          <w:szCs w:val="21"/>
        </w:rPr>
        <w:t>含培训费、</w:t>
      </w:r>
      <w:r>
        <w:rPr>
          <w:rFonts w:hint="eastAsia" w:ascii="宋体" w:hAnsi="宋体" w:eastAsia="宋体" w:cs="宋体"/>
          <w:color w:val="000000"/>
          <w:spacing w:val="8"/>
          <w:sz w:val="24"/>
          <w:szCs w:val="21"/>
          <w:lang w:val="en-US" w:eastAsia="zh-CN"/>
        </w:rPr>
        <w:t>平台</w:t>
      </w:r>
      <w:r>
        <w:rPr>
          <w:rFonts w:hint="eastAsia" w:ascii="宋体" w:hAnsi="宋体" w:eastAsia="宋体" w:cs="宋体"/>
          <w:color w:val="000000"/>
          <w:spacing w:val="8"/>
          <w:sz w:val="24"/>
          <w:szCs w:val="21"/>
        </w:rPr>
        <w:t>费、资料费</w:t>
      </w:r>
      <w:r>
        <w:rPr>
          <w:rFonts w:hint="eastAsia" w:ascii="宋体" w:hAnsi="宋体" w:eastAsia="宋体" w:cs="宋体"/>
          <w:color w:val="000000"/>
          <w:spacing w:val="8"/>
          <w:sz w:val="24"/>
          <w:szCs w:val="21"/>
          <w:lang w:val="en-US" w:eastAsia="zh-CN"/>
        </w:rPr>
        <w:t>以及直播视频回放一年）</w:t>
      </w:r>
      <w:r>
        <w:rPr>
          <w:rFonts w:hint="eastAsia" w:ascii="宋体" w:hAnsi="宋体"/>
          <w:color w:val="000000"/>
          <w:spacing w:val="8"/>
          <w:sz w:val="24"/>
          <w:szCs w:val="21"/>
        </w:rPr>
        <w:t>。</w:t>
      </w:r>
    </w:p>
    <w:p>
      <w:pPr>
        <w:snapToGrid w:val="0"/>
        <w:spacing w:line="400" w:lineRule="exact"/>
        <w:ind w:firstLine="512" w:firstLineChars="200"/>
        <w:rPr>
          <w:rFonts w:ascii="宋体" w:hAnsi="宋体"/>
          <w:color w:val="000000"/>
          <w:spacing w:val="8"/>
          <w:sz w:val="24"/>
          <w:szCs w:val="21"/>
        </w:rPr>
      </w:pPr>
      <w:r>
        <w:rPr>
          <w:rFonts w:hint="eastAsia" w:ascii="宋体" w:hAnsi="宋体"/>
          <w:color w:val="000000"/>
          <w:spacing w:val="8"/>
          <w:sz w:val="24"/>
          <w:szCs w:val="21"/>
        </w:rPr>
        <w:t>本课程由中国信息化培训中心颁发《IT项目管理与需求分析最佳实践工程师》证书，证书查询网址：www.zpedu.com;证书可作为专业技术人员职业能力考核的证明，以及专业技术人员岗位聘用、任职、定级和晋升职务的重要依据。</w:t>
      </w:r>
    </w:p>
    <w:p>
      <w:pPr>
        <w:adjustRightInd w:val="0"/>
        <w:snapToGrid w:val="0"/>
        <w:spacing w:before="240" w:line="400" w:lineRule="exact"/>
        <w:ind w:left="170"/>
        <w:rPr>
          <w:rFonts w:ascii="宋体" w:hAnsi="宋体" w:cs="仿宋_GB2312"/>
          <w:b/>
          <w:bCs/>
          <w:color w:val="000000"/>
          <w:sz w:val="28"/>
          <w:szCs w:val="28"/>
        </w:rPr>
      </w:pPr>
      <w:r>
        <w:rPr>
          <w:rFonts w:hint="eastAsia" w:ascii="宋体" w:hAnsi="宋体" w:cs="仿宋_GB2312"/>
          <w:b/>
          <w:bCs/>
          <w:color w:val="000000"/>
          <w:sz w:val="28"/>
          <w:szCs w:val="28"/>
        </w:rPr>
        <w:t>六、报名回执《IT项目管理与需求分析最佳实践》</w:t>
      </w:r>
    </w:p>
    <w:tbl>
      <w:tblPr>
        <w:tblStyle w:val="6"/>
        <w:tblW w:w="10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2209"/>
        <w:gridCol w:w="1619"/>
        <w:gridCol w:w="839"/>
        <w:gridCol w:w="910"/>
        <w:gridCol w:w="168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单位名称</w:t>
            </w:r>
          </w:p>
          <w:p>
            <w:pPr>
              <w:snapToGrid w:val="0"/>
              <w:jc w:val="center"/>
              <w:rPr>
                <w:rFonts w:ascii="宋体" w:hAnsi="宋体"/>
                <w:sz w:val="24"/>
                <w:szCs w:val="24"/>
              </w:rPr>
            </w:pPr>
            <w:r>
              <w:rPr>
                <w:rFonts w:hint="eastAsia" w:ascii="宋体" w:hAnsi="宋体"/>
                <w:sz w:val="24"/>
                <w:szCs w:val="24"/>
              </w:rPr>
              <w:t>（开发票</w:t>
            </w:r>
            <w:r>
              <w:rPr>
                <w:rFonts w:ascii="宋体" w:hAnsi="宋体"/>
                <w:sz w:val="24"/>
                <w:szCs w:val="24"/>
              </w:rPr>
              <w:t>名称</w:t>
            </w:r>
            <w:r>
              <w:rPr>
                <w:rFonts w:hint="eastAsia" w:ascii="宋体" w:hAnsi="宋体"/>
                <w:sz w:val="24"/>
                <w:szCs w:val="24"/>
              </w:rPr>
              <w:t>）</w:t>
            </w:r>
          </w:p>
        </w:tc>
        <w:tc>
          <w:tcPr>
            <w:tcW w:w="8643" w:type="dxa"/>
            <w:gridSpan w:val="6"/>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快递地址</w:t>
            </w:r>
          </w:p>
        </w:tc>
        <w:tc>
          <w:tcPr>
            <w:tcW w:w="557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邮编</w:t>
            </w: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联 系 人</w:t>
            </w:r>
          </w:p>
        </w:tc>
        <w:tc>
          <w:tcPr>
            <w:tcW w:w="38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职位</w:t>
            </w:r>
          </w:p>
        </w:tc>
        <w:tc>
          <w:tcPr>
            <w:tcW w:w="9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电话</w:t>
            </w: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Email</w:t>
            </w:r>
          </w:p>
        </w:tc>
        <w:tc>
          <w:tcPr>
            <w:tcW w:w="38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传真</w:t>
            </w:r>
          </w:p>
        </w:tc>
        <w:tc>
          <w:tcPr>
            <w:tcW w:w="39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学员姓名</w:t>
            </w: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身份证号</w:t>
            </w:r>
          </w:p>
          <w:p>
            <w:pPr>
              <w:snapToGrid w:val="0"/>
              <w:jc w:val="center"/>
              <w:rPr>
                <w:rFonts w:ascii="宋体" w:hAnsi="宋体"/>
                <w:sz w:val="24"/>
                <w:szCs w:val="24"/>
              </w:rPr>
            </w:pPr>
            <w:r>
              <w:rPr>
                <w:rFonts w:hint="eastAsia" w:ascii="宋体" w:hAnsi="宋体"/>
                <w:sz w:val="24"/>
                <w:szCs w:val="24"/>
              </w:rPr>
              <w:t>（做证书使用）</w:t>
            </w:r>
          </w:p>
        </w:tc>
        <w:tc>
          <w:tcPr>
            <w:tcW w:w="16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邮箱</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联系电话</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培训地点</w:t>
            </w:r>
          </w:p>
          <w:p>
            <w:pPr>
              <w:snapToGrid w:val="0"/>
              <w:jc w:val="center"/>
              <w:rPr>
                <w:rFonts w:ascii="宋体" w:hAnsi="宋体"/>
                <w:sz w:val="24"/>
                <w:szCs w:val="24"/>
              </w:rPr>
            </w:pPr>
            <w:r>
              <w:rPr>
                <w:rFonts w:hint="eastAsia" w:ascii="宋体" w:hAnsi="宋体"/>
                <w:sz w:val="24"/>
                <w:szCs w:val="24"/>
              </w:rPr>
              <w:t>（培训方式）</w:t>
            </w: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c>
          <w:tcPr>
            <w:tcW w:w="220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1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p>
        </w:tc>
        <w:tc>
          <w:tcPr>
            <w:tcW w:w="13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2056" w:type="dxa"/>
            <w:tcBorders>
              <w:top w:val="double" w:color="auto" w:sz="4" w:space="0"/>
              <w:left w:val="single" w:color="auto" w:sz="4" w:space="0"/>
              <w:bottom w:val="single" w:color="auto" w:sz="4" w:space="0"/>
              <w:right w:val="double" w:color="auto" w:sz="4" w:space="0"/>
            </w:tcBorders>
            <w:vAlign w:val="center"/>
          </w:tcPr>
          <w:p>
            <w:pPr>
              <w:snapToGrid w:val="0"/>
              <w:spacing w:line="360" w:lineRule="auto"/>
              <w:jc w:val="center"/>
              <w:rPr>
                <w:rFonts w:ascii="宋体" w:hAnsi="宋体"/>
                <w:color w:val="000000"/>
                <w:sz w:val="24"/>
                <w:szCs w:val="24"/>
              </w:rPr>
            </w:pPr>
            <w:r>
              <w:rPr>
                <w:rFonts w:hint="eastAsia" w:ascii="宋体" w:hAnsi="宋体"/>
                <w:color w:val="000000"/>
                <w:sz w:val="24"/>
                <w:szCs w:val="24"/>
              </w:rPr>
              <w:t>汇  款</w:t>
            </w:r>
          </w:p>
          <w:p>
            <w:pPr>
              <w:snapToGrid w:val="0"/>
              <w:spacing w:line="360" w:lineRule="auto"/>
              <w:jc w:val="center"/>
              <w:rPr>
                <w:rFonts w:ascii="宋体" w:hAnsi="宋体"/>
                <w:color w:val="000000"/>
                <w:sz w:val="24"/>
                <w:szCs w:val="24"/>
              </w:rPr>
            </w:pPr>
            <w:r>
              <w:rPr>
                <w:rFonts w:hint="eastAsia" w:ascii="宋体" w:hAnsi="宋体"/>
                <w:color w:val="000000"/>
                <w:sz w:val="24"/>
                <w:szCs w:val="24"/>
              </w:rPr>
              <w:t>方  式</w:t>
            </w:r>
          </w:p>
        </w:tc>
        <w:tc>
          <w:tcPr>
            <w:tcW w:w="7261" w:type="dxa"/>
            <w:gridSpan w:val="5"/>
            <w:tcBorders>
              <w:top w:val="double" w:color="auto" w:sz="4" w:space="0"/>
              <w:left w:val="double" w:color="auto" w:sz="4" w:space="0"/>
              <w:right w:val="double" w:color="auto" w:sz="4" w:space="0"/>
            </w:tcBorders>
            <w:vAlign w:val="center"/>
          </w:tcPr>
          <w:p>
            <w:pPr>
              <w:snapToGrid w:val="0"/>
              <w:spacing w:before="156" w:beforeLines="50" w:line="276" w:lineRule="auto"/>
              <w:rPr>
                <w:rFonts w:ascii="宋体" w:hAnsi="宋体"/>
                <w:sz w:val="24"/>
                <w:szCs w:val="24"/>
              </w:rPr>
            </w:pPr>
            <w:r>
              <w:rPr>
                <w:rFonts w:hint="eastAsia" w:ascii="宋体" w:hAnsi="宋体" w:cs="宋体"/>
                <w:sz w:val="24"/>
                <w:szCs w:val="24"/>
              </w:rPr>
              <w:t>户</w:t>
            </w:r>
            <w:r>
              <w:rPr>
                <w:rFonts w:hint="eastAsia" w:ascii="宋体" w:hAnsi="宋体"/>
                <w:sz w:val="24"/>
                <w:szCs w:val="24"/>
              </w:rPr>
              <w:t xml:space="preserve">  名：北京中培</w:t>
            </w:r>
            <w:r>
              <w:rPr>
                <w:rFonts w:hint="eastAsia" w:ascii="宋体" w:hAnsi="宋体" w:cs="宋体"/>
                <w:sz w:val="24"/>
                <w:szCs w:val="24"/>
              </w:rPr>
              <w:t>伟业</w:t>
            </w:r>
            <w:r>
              <w:rPr>
                <w:rFonts w:hint="eastAsia" w:ascii="宋体" w:hAnsi="宋体" w:cs="Dotum"/>
                <w:sz w:val="24"/>
                <w:szCs w:val="24"/>
              </w:rPr>
              <w:t>管理咨</w:t>
            </w:r>
            <w:r>
              <w:rPr>
                <w:rFonts w:hint="eastAsia" w:ascii="宋体" w:hAnsi="宋体" w:cs="宋体"/>
                <w:sz w:val="24"/>
                <w:szCs w:val="24"/>
              </w:rPr>
              <w:t>询</w:t>
            </w:r>
            <w:r>
              <w:rPr>
                <w:rFonts w:hint="eastAsia" w:ascii="宋体" w:hAnsi="宋体" w:cs="Dotum"/>
                <w:sz w:val="24"/>
                <w:szCs w:val="24"/>
              </w:rPr>
              <w:t>有限公司</w:t>
            </w:r>
          </w:p>
          <w:p>
            <w:pPr>
              <w:snapToGrid w:val="0"/>
              <w:spacing w:line="276" w:lineRule="auto"/>
              <w:rPr>
                <w:rFonts w:ascii="宋体" w:hAnsi="宋体"/>
                <w:sz w:val="24"/>
                <w:szCs w:val="24"/>
              </w:rPr>
            </w:pPr>
            <w:r>
              <w:rPr>
                <w:rFonts w:hint="eastAsia" w:ascii="宋体" w:hAnsi="宋体" w:cs="宋体"/>
                <w:sz w:val="24"/>
                <w:szCs w:val="24"/>
              </w:rPr>
              <w:t>开户</w:t>
            </w:r>
            <w:r>
              <w:rPr>
                <w:rFonts w:hint="eastAsia" w:ascii="宋体" w:hAnsi="宋体" w:cs="Dotum"/>
                <w:sz w:val="24"/>
                <w:szCs w:val="24"/>
              </w:rPr>
              <w:t>行：北京</w:t>
            </w:r>
            <w:r>
              <w:rPr>
                <w:rFonts w:hint="eastAsia" w:ascii="宋体" w:hAnsi="宋体" w:cs="宋体"/>
                <w:sz w:val="24"/>
                <w:szCs w:val="24"/>
              </w:rPr>
              <w:t>农</w:t>
            </w:r>
            <w:r>
              <w:rPr>
                <w:rFonts w:hint="eastAsia" w:ascii="宋体" w:hAnsi="宋体" w:cs="Dotum"/>
                <w:sz w:val="24"/>
                <w:szCs w:val="24"/>
              </w:rPr>
              <w:t>村商</w:t>
            </w:r>
            <w:r>
              <w:rPr>
                <w:rFonts w:hint="eastAsia" w:ascii="宋体" w:hAnsi="宋体" w:cs="宋体"/>
                <w:sz w:val="24"/>
                <w:szCs w:val="24"/>
              </w:rPr>
              <w:t>业银</w:t>
            </w:r>
            <w:r>
              <w:rPr>
                <w:rFonts w:hint="eastAsia" w:ascii="宋体" w:hAnsi="宋体" w:cs="Dotum"/>
                <w:sz w:val="24"/>
                <w:szCs w:val="24"/>
              </w:rPr>
              <w:t>行</w:t>
            </w:r>
            <w:r>
              <w:rPr>
                <w:rFonts w:hint="eastAsia" w:ascii="宋体" w:hAnsi="宋体" w:cs="宋体"/>
                <w:sz w:val="24"/>
                <w:szCs w:val="24"/>
              </w:rPr>
              <w:t>卢沟桥</w:t>
            </w:r>
            <w:r>
              <w:rPr>
                <w:rFonts w:hint="eastAsia" w:ascii="宋体" w:hAnsi="宋体" w:cs="Dotum"/>
                <w:sz w:val="24"/>
                <w:szCs w:val="24"/>
              </w:rPr>
              <w:t>支行</w:t>
            </w:r>
          </w:p>
          <w:p>
            <w:pPr>
              <w:snapToGrid w:val="0"/>
              <w:spacing w:line="276" w:lineRule="auto"/>
              <w:rPr>
                <w:rFonts w:ascii="宋体" w:hAnsi="宋体"/>
                <w:sz w:val="24"/>
                <w:szCs w:val="24"/>
              </w:rPr>
            </w:pPr>
            <w:r>
              <w:rPr>
                <w:rFonts w:hint="eastAsia" w:ascii="宋体" w:hAnsi="宋体" w:cs="宋体"/>
                <w:sz w:val="24"/>
                <w:szCs w:val="24"/>
              </w:rPr>
              <w:t>帐号</w:t>
            </w:r>
            <w:r>
              <w:rPr>
                <w:rFonts w:hint="eastAsia" w:ascii="宋体" w:hAnsi="宋体" w:cs="Dotum"/>
                <w:sz w:val="24"/>
                <w:szCs w:val="24"/>
              </w:rPr>
              <w:t>：</w:t>
            </w:r>
            <w:r>
              <w:rPr>
                <w:rFonts w:hint="eastAsia" w:ascii="宋体" w:hAnsi="宋体"/>
                <w:sz w:val="24"/>
                <w:szCs w:val="24"/>
              </w:rPr>
              <w:t>0203 0101 0300 0033 172</w:t>
            </w:r>
          </w:p>
        </w:tc>
        <w:tc>
          <w:tcPr>
            <w:tcW w:w="1382" w:type="dxa"/>
            <w:tcBorders>
              <w:top w:val="double" w:color="auto" w:sz="4" w:space="0"/>
              <w:left w:val="double" w:color="auto" w:sz="4" w:space="0"/>
              <w:bottom w:val="single" w:color="auto" w:sz="4" w:space="0"/>
              <w:right w:val="single" w:color="auto" w:sz="4" w:space="0"/>
            </w:tcBorders>
            <w:vAlign w:val="center"/>
          </w:tcPr>
          <w:p>
            <w:pPr>
              <w:widowControl/>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jc w:val="center"/>
        </w:trPr>
        <w:tc>
          <w:tcPr>
            <w:tcW w:w="2056" w:type="dxa"/>
            <w:tcBorders>
              <w:top w:val="double" w:color="auto" w:sz="4" w:space="0"/>
              <w:left w:val="single" w:color="auto" w:sz="4" w:space="0"/>
              <w:bottom w:val="single" w:color="auto" w:sz="4" w:space="0"/>
              <w:right w:val="double" w:color="auto" w:sz="4" w:space="0"/>
            </w:tcBorders>
            <w:vAlign w:val="center"/>
          </w:tcPr>
          <w:p>
            <w:pPr>
              <w:widowControl/>
              <w:jc w:val="center"/>
              <w:rPr>
                <w:rFonts w:ascii="宋体" w:hAnsi="宋体"/>
                <w:color w:val="000000"/>
                <w:sz w:val="24"/>
                <w:szCs w:val="24"/>
              </w:rPr>
            </w:pPr>
            <w:r>
              <w:rPr>
                <w:rFonts w:hint="eastAsia" w:ascii="宋体" w:hAnsi="宋体"/>
                <w:color w:val="000000"/>
                <w:sz w:val="24"/>
                <w:szCs w:val="24"/>
              </w:rPr>
              <w:t>发票信息：</w:t>
            </w:r>
          </w:p>
        </w:tc>
        <w:tc>
          <w:tcPr>
            <w:tcW w:w="8643" w:type="dxa"/>
            <w:gridSpan w:val="6"/>
            <w:tcBorders>
              <w:top w:val="single" w:color="auto" w:sz="4" w:space="0"/>
              <w:left w:val="double" w:color="auto" w:sz="4" w:space="0"/>
              <w:right w:val="single" w:color="auto" w:sz="4" w:space="0"/>
            </w:tcBorders>
            <w:vAlign w:val="center"/>
          </w:tcPr>
          <w:p>
            <w:pPr>
              <w:spacing w:line="300" w:lineRule="auto"/>
              <w:rPr>
                <w:kern w:val="0"/>
                <w:sz w:val="24"/>
                <w:szCs w:val="24"/>
              </w:rPr>
            </w:pPr>
            <w:r>
              <w:rPr>
                <w:rFonts w:hint="eastAsia"/>
                <w:sz w:val="24"/>
                <w:szCs w:val="24"/>
              </w:rPr>
              <w:t>单位名称：</w:t>
            </w:r>
          </w:p>
          <w:p>
            <w:pPr>
              <w:spacing w:line="300" w:lineRule="auto"/>
              <w:rPr>
                <w:sz w:val="24"/>
                <w:szCs w:val="24"/>
              </w:rPr>
            </w:pPr>
            <w:r>
              <w:rPr>
                <w:rFonts w:hint="eastAsia"/>
                <w:sz w:val="24"/>
                <w:szCs w:val="24"/>
              </w:rPr>
              <w:t>统一社会信用代码：</w:t>
            </w:r>
          </w:p>
          <w:p>
            <w:pPr>
              <w:spacing w:line="300" w:lineRule="auto"/>
              <w:rPr>
                <w:sz w:val="24"/>
                <w:szCs w:val="24"/>
              </w:rPr>
            </w:pPr>
            <w:r>
              <w:rPr>
                <w:rFonts w:hint="eastAsia"/>
                <w:sz w:val="24"/>
                <w:szCs w:val="24"/>
              </w:rPr>
              <w:t>开户银行：</w:t>
            </w:r>
          </w:p>
          <w:p>
            <w:pPr>
              <w:spacing w:line="300" w:lineRule="auto"/>
              <w:rPr>
                <w:sz w:val="24"/>
                <w:szCs w:val="24"/>
              </w:rPr>
            </w:pPr>
            <w:r>
              <w:rPr>
                <w:rFonts w:hint="eastAsia"/>
                <w:sz w:val="24"/>
                <w:szCs w:val="24"/>
              </w:rPr>
              <w:t>账号：</w:t>
            </w:r>
          </w:p>
          <w:p>
            <w:pPr>
              <w:spacing w:line="300" w:lineRule="auto"/>
              <w:rPr>
                <w:sz w:val="24"/>
                <w:szCs w:val="24"/>
              </w:rPr>
            </w:pPr>
            <w:r>
              <w:rPr>
                <w:rFonts w:hint="eastAsia"/>
                <w:sz w:val="24"/>
                <w:szCs w:val="24"/>
              </w:rPr>
              <w:t>地址：</w:t>
            </w:r>
          </w:p>
          <w:p>
            <w:pPr>
              <w:widowControl/>
              <w:jc w:val="left"/>
              <w:rPr>
                <w:rFonts w:ascii="宋体" w:hAnsi="宋体"/>
                <w:color w:val="000000"/>
                <w:sz w:val="24"/>
                <w:szCs w:val="24"/>
              </w:rPr>
            </w:pPr>
            <w:r>
              <w:rPr>
                <w:rFonts w:hint="eastAsia"/>
                <w:sz w:val="24"/>
                <w:szCs w:val="24"/>
              </w:rPr>
              <w:t>电话：</w:t>
            </w:r>
          </w:p>
        </w:tc>
      </w:tr>
    </w:tbl>
    <w:p>
      <w:pPr>
        <w:adjustRightInd w:val="0"/>
        <w:snapToGrid w:val="0"/>
        <w:spacing w:line="400" w:lineRule="exact"/>
        <w:rPr>
          <w:rFonts w:ascii="宋体" w:hAnsi="宋体" w:cs="仿宋_GB2312"/>
          <w:b/>
          <w:bCs/>
          <w:color w:val="000000"/>
          <w:sz w:val="28"/>
          <w:szCs w:val="28"/>
        </w:rPr>
      </w:pPr>
    </w:p>
    <w:p>
      <w:pPr>
        <w:adjustRightInd w:val="0"/>
        <w:snapToGrid w:val="0"/>
        <w:spacing w:line="400" w:lineRule="exact"/>
        <w:ind w:left="170"/>
        <w:rPr>
          <w:rFonts w:ascii="宋体" w:hAnsi="宋体" w:cs="仿宋_GB2312"/>
          <w:b/>
          <w:bCs/>
          <w:color w:val="000000"/>
          <w:sz w:val="28"/>
          <w:szCs w:val="28"/>
        </w:rPr>
      </w:pPr>
      <w:r>
        <w:rPr>
          <w:rFonts w:hint="eastAsia" w:ascii="宋体" w:hAnsi="宋体" w:cs="仿宋_GB2312"/>
          <w:b/>
          <w:bCs/>
          <w:color w:val="000000"/>
          <w:sz w:val="28"/>
          <w:szCs w:val="28"/>
        </w:rPr>
        <w:t>七、联系方式</w:t>
      </w:r>
    </w:p>
    <w:p>
      <w:pPr>
        <w:adjustRightInd w:val="0"/>
        <w:snapToGrid w:val="0"/>
        <w:spacing w:line="400" w:lineRule="exact"/>
        <w:ind w:left="1" w:firstLine="121" w:firstLineChars="58"/>
        <w:rPr>
          <w:rFonts w:asciiTheme="minorEastAsia" w:hAnsiTheme="minorEastAsia"/>
          <w:b w:val="0"/>
          <w:bCs w:val="0"/>
          <w:color w:val="000000" w:themeColor="text1"/>
          <w:sz w:val="24"/>
          <w:szCs w:val="21"/>
          <w14:textFill>
            <w14:solidFill>
              <w14:schemeClr w14:val="tx1"/>
            </w14:solidFill>
          </w14:textFill>
        </w:rPr>
      </w:pPr>
      <w:bookmarkStart w:id="0" w:name="_GoBack"/>
      <w:r>
        <w:rPr>
          <w:rFonts w:hint="eastAsia"/>
          <w:b w:val="0"/>
          <w:bCs w:val="0"/>
        </w:rPr>
        <w:drawing>
          <wp:anchor distT="0" distB="0" distL="114300" distR="114300" simplePos="0" relativeHeight="251660288" behindDoc="0" locked="0" layoutInCell="1" allowOverlap="1">
            <wp:simplePos x="0" y="0"/>
            <wp:positionH relativeFrom="margin">
              <wp:posOffset>4434840</wp:posOffset>
            </wp:positionH>
            <wp:positionV relativeFrom="paragraph">
              <wp:posOffset>226060</wp:posOffset>
            </wp:positionV>
            <wp:extent cx="1623060" cy="1871980"/>
            <wp:effectExtent l="0" t="0" r="152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bookmarkEnd w:id="0"/>
      <w:r>
        <w:rPr>
          <w:rFonts w:hint="eastAsia" w:ascii="宋体" w:hAnsi="宋体" w:eastAsia="宋体" w:cs="宋体"/>
          <w:b w:val="0"/>
          <w:bCs w:val="0"/>
          <w:sz w:val="24"/>
          <w:szCs w:val="24"/>
        </w:rPr>
        <w:t>联</w:t>
      </w:r>
      <w:r>
        <w:rPr>
          <w:rFonts w:hint="eastAsia" w:asciiTheme="minorEastAsia" w:hAnsiTheme="minorEastAsia"/>
          <w:b w:val="0"/>
          <w:bCs w:val="0"/>
          <w:color w:val="000000" w:themeColor="text1"/>
          <w:sz w:val="24"/>
          <w:szCs w:val="21"/>
          <w14:textFill>
            <w14:solidFill>
              <w14:schemeClr w14:val="tx1"/>
            </w14:solidFill>
          </w14:textFill>
        </w:rPr>
        <w:t>系人：</w:t>
      </w:r>
      <w:r>
        <w:rPr>
          <w:rFonts w:hint="eastAsia" w:asciiTheme="minorEastAsia" w:hAnsiTheme="minorEastAsia"/>
          <w:b w:val="0"/>
          <w:bCs w:val="0"/>
          <w:color w:val="000000" w:themeColor="text1"/>
          <w:sz w:val="24"/>
          <w:szCs w:val="21"/>
          <w:lang w:val="en-US" w:eastAsia="zh-CN"/>
          <w14:textFill>
            <w14:solidFill>
              <w14:schemeClr w14:val="tx1"/>
            </w14:solidFill>
          </w14:textFill>
        </w:rPr>
        <w:t>方老师</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手  机（微信）：</w:t>
      </w:r>
      <w:r>
        <w:rPr>
          <w:rFonts w:hint="eastAsia" w:asciiTheme="minorEastAsia" w:hAnsiTheme="minorEastAsia"/>
          <w:b w:val="0"/>
          <w:bCs w:val="0"/>
          <w:color w:val="000000" w:themeColor="text1"/>
          <w:sz w:val="24"/>
          <w:szCs w:val="21"/>
          <w:lang w:val="en-US" w:eastAsia="zh-CN"/>
          <w14:textFill>
            <w14:solidFill>
              <w14:schemeClr w14:val="tx1"/>
            </w14:solidFill>
          </w14:textFill>
        </w:rPr>
        <w:t>13910781835</w:t>
      </w:r>
    </w:p>
    <w:p>
      <w:pPr>
        <w:adjustRightInd w:val="0"/>
        <w:snapToGrid w:val="0"/>
        <w:spacing w:line="400" w:lineRule="exact"/>
        <w:ind w:left="1" w:firstLine="139" w:firstLineChars="58"/>
        <w:rPr>
          <w:rFonts w:hint="eastAsia" w:asciiTheme="minorEastAsia" w:hAnsi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QQ：</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w:t>
      </w:r>
    </w:p>
    <w:p>
      <w:pPr>
        <w:adjustRightInd w:val="0"/>
        <w:snapToGrid w:val="0"/>
        <w:spacing w:line="400" w:lineRule="exact"/>
        <w:ind w:left="1" w:firstLine="139" w:firstLineChars="58"/>
        <w:rPr>
          <w:rFonts w:hint="default" w:asciiTheme="minorEastAsia" w:hAnsiTheme="minorEastAsia" w:eastAsiaTheme="minorEastAsia"/>
          <w:b w:val="0"/>
          <w:bCs w:val="0"/>
          <w:color w:val="000000" w:themeColor="text1"/>
          <w:sz w:val="24"/>
          <w:szCs w:val="21"/>
          <w:lang w:val="en-US" w:eastAsia="zh-CN"/>
          <w14:textFill>
            <w14:solidFill>
              <w14:schemeClr w14:val="tx1"/>
            </w14:solidFill>
          </w14:textFill>
        </w:rPr>
      </w:pPr>
      <w:r>
        <w:rPr>
          <w:rFonts w:hint="eastAsia" w:asciiTheme="minorEastAsia" w:hAnsiTheme="minorEastAsia"/>
          <w:b w:val="0"/>
          <w:bCs w:val="0"/>
          <w:color w:val="000000" w:themeColor="text1"/>
          <w:sz w:val="24"/>
          <w:szCs w:val="21"/>
          <w14:textFill>
            <w14:solidFill>
              <w14:schemeClr w14:val="tx1"/>
            </w14:solidFill>
          </w14:textFill>
        </w:rPr>
        <w:t>邮 箱：</w:t>
      </w:r>
      <w:r>
        <w:rPr>
          <w:rFonts w:hint="eastAsia" w:asciiTheme="minorEastAsia" w:hAnsiTheme="minorEastAsia"/>
          <w:b w:val="0"/>
          <w:bCs w:val="0"/>
          <w:color w:val="000000" w:themeColor="text1"/>
          <w:sz w:val="24"/>
          <w:szCs w:val="21"/>
          <w:lang w:val="en-US" w:eastAsia="zh-CN"/>
          <w14:textFill>
            <w14:solidFill>
              <w14:schemeClr w14:val="tx1"/>
            </w14:solidFill>
          </w14:textFill>
        </w:rPr>
        <w:t>1808273142@qq.com</w:t>
      </w:r>
    </w:p>
    <w:p>
      <w:pPr>
        <w:adjustRightInd w:val="0"/>
        <w:snapToGrid w:val="0"/>
        <w:spacing w:line="400" w:lineRule="exact"/>
        <w:rPr>
          <w:rFonts w:ascii="宋体" w:hAnsi="宋体"/>
          <w:color w:val="000000" w:themeColor="text1"/>
          <w:sz w:val="24"/>
          <w:szCs w:val="21"/>
          <w14:textFill>
            <w14:solidFill>
              <w14:schemeClr w14:val="tx1"/>
            </w14:solidFill>
          </w14:textFill>
        </w:rPr>
      </w:pPr>
    </w:p>
    <w:p>
      <w:pPr>
        <w:adjustRightInd w:val="0"/>
        <w:snapToGrid w:val="0"/>
        <w:spacing w:line="400" w:lineRule="exact"/>
        <w:ind w:left="1" w:firstLine="139" w:firstLineChars="58"/>
        <w:jc w:val="right"/>
        <w:rPr>
          <w:rFonts w:ascii="宋体" w:hAnsi="宋体"/>
          <w:color w:val="000000"/>
          <w:sz w:val="24"/>
          <w:szCs w:val="21"/>
        </w:rPr>
      </w:pPr>
      <w:r>
        <w:rPr>
          <w:rFonts w:hint="eastAsia" w:ascii="宋体" w:hAnsi="宋体"/>
          <w:color w:val="000000" w:themeColor="text1"/>
          <w:sz w:val="24"/>
          <w:szCs w:val="21"/>
          <w14:textFill>
            <w14:solidFill>
              <w14:schemeClr w14:val="tx1"/>
            </w14:solidFill>
          </w14:textFill>
        </w:rPr>
        <w:t>二〇二二年一月一日</w:t>
      </w:r>
    </w:p>
    <w:sectPr>
      <w:headerReference r:id="rId3" w:type="default"/>
      <w:footerReference r:id="rId4" w:type="default"/>
      <w:pgSz w:w="11906" w:h="16838"/>
      <w:pgMar w:top="1276" w:right="849" w:bottom="1134" w:left="851" w:header="284" w:footer="8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00092"/>
    </w:sdtPr>
    <w:sdtContent>
      <w:sdt>
        <w:sdtPr>
          <w:id w:val="-443994462"/>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 w:leftChars="-1" w:right="-424" w:rightChars="-202"/>
      <w:jc w:val="right"/>
    </w:pPr>
    <w:r>
      <w:drawing>
        <wp:anchor distT="0" distB="0" distL="114300" distR="114300" simplePos="0" relativeHeight="251659264" behindDoc="1" locked="0" layoutInCell="1" allowOverlap="1">
          <wp:simplePos x="0" y="0"/>
          <wp:positionH relativeFrom="page">
            <wp:align>right</wp:align>
          </wp:positionH>
          <wp:positionV relativeFrom="page">
            <wp:posOffset>186055</wp:posOffset>
          </wp:positionV>
          <wp:extent cx="7552690" cy="70929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B6FF7"/>
    <w:multiLevelType w:val="multilevel"/>
    <w:tmpl w:val="03AB6FF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54"/>
        </w:tabs>
        <w:ind w:left="1254" w:hanging="420"/>
      </w:pPr>
      <w:rPr>
        <w:rFonts w:hint="default" w:ascii="Wingdings" w:hAnsi="Wingdings"/>
      </w:rPr>
    </w:lvl>
    <w:lvl w:ilvl="2" w:tentative="0">
      <w:start w:val="1"/>
      <w:numFmt w:val="bullet"/>
      <w:lvlText w:val=""/>
      <w:lvlJc w:val="left"/>
      <w:pPr>
        <w:tabs>
          <w:tab w:val="left" w:pos="1674"/>
        </w:tabs>
        <w:ind w:left="1674" w:hanging="420"/>
      </w:pPr>
      <w:rPr>
        <w:rFonts w:hint="default" w:ascii="Wingdings" w:hAnsi="Wingdings"/>
      </w:rPr>
    </w:lvl>
    <w:lvl w:ilvl="3" w:tentative="0">
      <w:start w:val="1"/>
      <w:numFmt w:val="bullet"/>
      <w:lvlText w:val=""/>
      <w:lvlJc w:val="left"/>
      <w:pPr>
        <w:tabs>
          <w:tab w:val="left" w:pos="2094"/>
        </w:tabs>
        <w:ind w:left="2094" w:hanging="420"/>
      </w:pPr>
      <w:rPr>
        <w:rFonts w:hint="default" w:ascii="Wingdings" w:hAnsi="Wingdings"/>
      </w:rPr>
    </w:lvl>
    <w:lvl w:ilvl="4" w:tentative="0">
      <w:start w:val="1"/>
      <w:numFmt w:val="bullet"/>
      <w:lvlText w:val=""/>
      <w:lvlJc w:val="left"/>
      <w:pPr>
        <w:tabs>
          <w:tab w:val="left" w:pos="2514"/>
        </w:tabs>
        <w:ind w:left="2514" w:hanging="420"/>
      </w:pPr>
      <w:rPr>
        <w:rFonts w:hint="default" w:ascii="Wingdings" w:hAnsi="Wingdings"/>
      </w:rPr>
    </w:lvl>
    <w:lvl w:ilvl="5" w:tentative="0">
      <w:start w:val="1"/>
      <w:numFmt w:val="bullet"/>
      <w:lvlText w:val=""/>
      <w:lvlJc w:val="left"/>
      <w:pPr>
        <w:tabs>
          <w:tab w:val="left" w:pos="2934"/>
        </w:tabs>
        <w:ind w:left="2934" w:hanging="420"/>
      </w:pPr>
      <w:rPr>
        <w:rFonts w:hint="default" w:ascii="Wingdings" w:hAnsi="Wingdings"/>
      </w:rPr>
    </w:lvl>
    <w:lvl w:ilvl="6" w:tentative="0">
      <w:start w:val="1"/>
      <w:numFmt w:val="bullet"/>
      <w:lvlText w:val=""/>
      <w:lvlJc w:val="left"/>
      <w:pPr>
        <w:tabs>
          <w:tab w:val="left" w:pos="3354"/>
        </w:tabs>
        <w:ind w:left="3354" w:hanging="420"/>
      </w:pPr>
      <w:rPr>
        <w:rFonts w:hint="default" w:ascii="Wingdings" w:hAnsi="Wingdings"/>
      </w:rPr>
    </w:lvl>
    <w:lvl w:ilvl="7" w:tentative="0">
      <w:start w:val="1"/>
      <w:numFmt w:val="bullet"/>
      <w:lvlText w:val=""/>
      <w:lvlJc w:val="left"/>
      <w:pPr>
        <w:tabs>
          <w:tab w:val="left" w:pos="3774"/>
        </w:tabs>
        <w:ind w:left="3774" w:hanging="420"/>
      </w:pPr>
      <w:rPr>
        <w:rFonts w:hint="default" w:ascii="Wingdings" w:hAnsi="Wingdings"/>
      </w:rPr>
    </w:lvl>
    <w:lvl w:ilvl="8" w:tentative="0">
      <w:start w:val="1"/>
      <w:numFmt w:val="bullet"/>
      <w:lvlText w:val=""/>
      <w:lvlJc w:val="left"/>
      <w:pPr>
        <w:tabs>
          <w:tab w:val="left" w:pos="4194"/>
        </w:tabs>
        <w:ind w:left="4194" w:hanging="420"/>
      </w:pPr>
      <w:rPr>
        <w:rFonts w:hint="default" w:ascii="Wingdings" w:hAnsi="Wingdings"/>
      </w:rPr>
    </w:lvl>
  </w:abstractNum>
  <w:abstractNum w:abstractNumId="1">
    <w:nsid w:val="05E54C73"/>
    <w:multiLevelType w:val="multilevel"/>
    <w:tmpl w:val="05E54C73"/>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2635912"/>
    <w:multiLevelType w:val="multilevel"/>
    <w:tmpl w:val="22635912"/>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1095C9D"/>
    <w:multiLevelType w:val="multilevel"/>
    <w:tmpl w:val="31095C9D"/>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58C064F"/>
    <w:multiLevelType w:val="multilevel"/>
    <w:tmpl w:val="358C064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41157152"/>
    <w:multiLevelType w:val="multilevel"/>
    <w:tmpl w:val="41157152"/>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451878BC"/>
    <w:multiLevelType w:val="multilevel"/>
    <w:tmpl w:val="451878BC"/>
    <w:lvl w:ilvl="0" w:tentative="0">
      <w:start w:val="1"/>
      <w:numFmt w:val="bullet"/>
      <w:pStyle w:val="16"/>
      <w:lvlText w:val=""/>
      <w:lvlJc w:val="left"/>
      <w:pPr>
        <w:ind w:left="900" w:hanging="420"/>
      </w:pPr>
      <w:rPr>
        <w:rFonts w:hint="default" w:ascii="Wingdings" w:hAnsi="Wingdings"/>
        <w:sz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49E51838"/>
    <w:multiLevelType w:val="multilevel"/>
    <w:tmpl w:val="49E51838"/>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8E62555"/>
    <w:multiLevelType w:val="multilevel"/>
    <w:tmpl w:val="58E62555"/>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68236416"/>
    <w:multiLevelType w:val="multilevel"/>
    <w:tmpl w:val="68236416"/>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70F4209D"/>
    <w:multiLevelType w:val="multilevel"/>
    <w:tmpl w:val="70F4209D"/>
    <w:lvl w:ilvl="0" w:tentative="0">
      <w:start w:val="1"/>
      <w:numFmt w:val="decimal"/>
      <w:lvlText w:val="%1."/>
      <w:lvlJc w:val="left"/>
      <w:pPr>
        <w:ind w:left="420" w:hanging="420"/>
      </w:pPr>
      <w:rPr>
        <w:rFonts w:cs="Times New Roman"/>
        <w:sz w:val="24"/>
        <w:szCs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713A12DA"/>
    <w:multiLevelType w:val="multilevel"/>
    <w:tmpl w:val="713A12DA"/>
    <w:lvl w:ilvl="0" w:tentative="0">
      <w:start w:val="1"/>
      <w:numFmt w:val="bullet"/>
      <w:lvlText w:val=""/>
      <w:lvlJc w:val="left"/>
      <w:pPr>
        <w:tabs>
          <w:tab w:val="left" w:pos="834"/>
        </w:tabs>
        <w:ind w:left="834" w:hanging="420"/>
      </w:pPr>
      <w:rPr>
        <w:rFonts w:hint="default" w:ascii="Wingdings" w:hAnsi="Wingdings"/>
      </w:rPr>
    </w:lvl>
    <w:lvl w:ilvl="1" w:tentative="0">
      <w:start w:val="1"/>
      <w:numFmt w:val="bullet"/>
      <w:lvlText w:val=""/>
      <w:lvlJc w:val="left"/>
      <w:pPr>
        <w:tabs>
          <w:tab w:val="left" w:pos="1254"/>
        </w:tabs>
        <w:ind w:left="1254" w:hanging="420"/>
      </w:pPr>
      <w:rPr>
        <w:rFonts w:hint="default" w:ascii="Wingdings" w:hAnsi="Wingdings"/>
      </w:rPr>
    </w:lvl>
    <w:lvl w:ilvl="2" w:tentative="0">
      <w:start w:val="1"/>
      <w:numFmt w:val="bullet"/>
      <w:lvlText w:val=""/>
      <w:lvlJc w:val="left"/>
      <w:pPr>
        <w:tabs>
          <w:tab w:val="left" w:pos="1674"/>
        </w:tabs>
        <w:ind w:left="1674" w:hanging="420"/>
      </w:pPr>
      <w:rPr>
        <w:rFonts w:hint="default" w:ascii="Wingdings" w:hAnsi="Wingdings"/>
      </w:rPr>
    </w:lvl>
    <w:lvl w:ilvl="3" w:tentative="0">
      <w:start w:val="1"/>
      <w:numFmt w:val="bullet"/>
      <w:lvlText w:val=""/>
      <w:lvlJc w:val="left"/>
      <w:pPr>
        <w:tabs>
          <w:tab w:val="left" w:pos="2094"/>
        </w:tabs>
        <w:ind w:left="2094" w:hanging="420"/>
      </w:pPr>
      <w:rPr>
        <w:rFonts w:hint="default" w:ascii="Wingdings" w:hAnsi="Wingdings"/>
      </w:rPr>
    </w:lvl>
    <w:lvl w:ilvl="4" w:tentative="0">
      <w:start w:val="1"/>
      <w:numFmt w:val="bullet"/>
      <w:lvlText w:val=""/>
      <w:lvlJc w:val="left"/>
      <w:pPr>
        <w:tabs>
          <w:tab w:val="left" w:pos="2514"/>
        </w:tabs>
        <w:ind w:left="2514" w:hanging="420"/>
      </w:pPr>
      <w:rPr>
        <w:rFonts w:hint="default" w:ascii="Wingdings" w:hAnsi="Wingdings"/>
      </w:rPr>
    </w:lvl>
    <w:lvl w:ilvl="5" w:tentative="0">
      <w:start w:val="1"/>
      <w:numFmt w:val="bullet"/>
      <w:lvlText w:val=""/>
      <w:lvlJc w:val="left"/>
      <w:pPr>
        <w:tabs>
          <w:tab w:val="left" w:pos="2934"/>
        </w:tabs>
        <w:ind w:left="2934" w:hanging="420"/>
      </w:pPr>
      <w:rPr>
        <w:rFonts w:hint="default" w:ascii="Wingdings" w:hAnsi="Wingdings"/>
      </w:rPr>
    </w:lvl>
    <w:lvl w:ilvl="6" w:tentative="0">
      <w:start w:val="1"/>
      <w:numFmt w:val="bullet"/>
      <w:lvlText w:val=""/>
      <w:lvlJc w:val="left"/>
      <w:pPr>
        <w:tabs>
          <w:tab w:val="left" w:pos="3354"/>
        </w:tabs>
        <w:ind w:left="3354" w:hanging="420"/>
      </w:pPr>
      <w:rPr>
        <w:rFonts w:hint="default" w:ascii="Wingdings" w:hAnsi="Wingdings"/>
      </w:rPr>
    </w:lvl>
    <w:lvl w:ilvl="7" w:tentative="0">
      <w:start w:val="1"/>
      <w:numFmt w:val="bullet"/>
      <w:lvlText w:val=""/>
      <w:lvlJc w:val="left"/>
      <w:pPr>
        <w:tabs>
          <w:tab w:val="left" w:pos="3774"/>
        </w:tabs>
        <w:ind w:left="3774" w:hanging="420"/>
      </w:pPr>
      <w:rPr>
        <w:rFonts w:hint="default" w:ascii="Wingdings" w:hAnsi="Wingdings"/>
      </w:rPr>
    </w:lvl>
    <w:lvl w:ilvl="8" w:tentative="0">
      <w:start w:val="1"/>
      <w:numFmt w:val="bullet"/>
      <w:lvlText w:val=""/>
      <w:lvlJc w:val="left"/>
      <w:pPr>
        <w:tabs>
          <w:tab w:val="left" w:pos="4194"/>
        </w:tabs>
        <w:ind w:left="4194" w:hanging="420"/>
      </w:pPr>
      <w:rPr>
        <w:rFonts w:hint="default" w:ascii="Wingdings" w:hAnsi="Wingdings"/>
      </w:rPr>
    </w:lvl>
  </w:abstractNum>
  <w:abstractNum w:abstractNumId="12">
    <w:nsid w:val="7A044A32"/>
    <w:multiLevelType w:val="multilevel"/>
    <w:tmpl w:val="7A044A32"/>
    <w:lvl w:ilvl="0" w:tentative="0">
      <w:start w:val="1"/>
      <w:numFmt w:val="decimal"/>
      <w:lvlText w:val="%1."/>
      <w:lvlJc w:val="right"/>
      <w:pPr>
        <w:ind w:left="420" w:hanging="13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6"/>
  </w:num>
  <w:num w:numId="2">
    <w:abstractNumId w:val="12"/>
  </w:num>
  <w:num w:numId="3">
    <w:abstractNumId w:val="0"/>
  </w:num>
  <w:num w:numId="4">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1"/>
  </w:num>
  <w:num w:numId="6">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8"/>
  </w:num>
  <w:num w:numId="8">
    <w:abstractNumId w:val="2"/>
  </w:num>
  <w:num w:numId="9">
    <w:abstractNumId w:val="1"/>
  </w:num>
  <w:num w:numId="10">
    <w:abstractNumId w:val="10"/>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21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B"/>
    <w:rsid w:val="000026A1"/>
    <w:rsid w:val="0001342A"/>
    <w:rsid w:val="00020038"/>
    <w:rsid w:val="0002491B"/>
    <w:rsid w:val="00031CFF"/>
    <w:rsid w:val="0003443F"/>
    <w:rsid w:val="000379FC"/>
    <w:rsid w:val="00040558"/>
    <w:rsid w:val="00041141"/>
    <w:rsid w:val="000428F9"/>
    <w:rsid w:val="0004295E"/>
    <w:rsid w:val="0004545E"/>
    <w:rsid w:val="000505B0"/>
    <w:rsid w:val="00063C1C"/>
    <w:rsid w:val="0006500C"/>
    <w:rsid w:val="0007476E"/>
    <w:rsid w:val="0007624D"/>
    <w:rsid w:val="0009389C"/>
    <w:rsid w:val="000949DB"/>
    <w:rsid w:val="000A71B0"/>
    <w:rsid w:val="000C0829"/>
    <w:rsid w:val="000D1750"/>
    <w:rsid w:val="000F2771"/>
    <w:rsid w:val="000F2E4F"/>
    <w:rsid w:val="000F43DA"/>
    <w:rsid w:val="00110C8F"/>
    <w:rsid w:val="001143AA"/>
    <w:rsid w:val="00114C2A"/>
    <w:rsid w:val="00132A14"/>
    <w:rsid w:val="00134817"/>
    <w:rsid w:val="00135F8F"/>
    <w:rsid w:val="00143AF4"/>
    <w:rsid w:val="001536FF"/>
    <w:rsid w:val="00166603"/>
    <w:rsid w:val="00182C7E"/>
    <w:rsid w:val="001872C0"/>
    <w:rsid w:val="00187504"/>
    <w:rsid w:val="00193252"/>
    <w:rsid w:val="00196E0B"/>
    <w:rsid w:val="001A0F90"/>
    <w:rsid w:val="001A228F"/>
    <w:rsid w:val="001C3AA8"/>
    <w:rsid w:val="001D0E31"/>
    <w:rsid w:val="001D2691"/>
    <w:rsid w:val="001E1373"/>
    <w:rsid w:val="001E1532"/>
    <w:rsid w:val="001E5587"/>
    <w:rsid w:val="001F4307"/>
    <w:rsid w:val="001F4562"/>
    <w:rsid w:val="0021575E"/>
    <w:rsid w:val="00227AF9"/>
    <w:rsid w:val="00233080"/>
    <w:rsid w:val="00253891"/>
    <w:rsid w:val="00261EC4"/>
    <w:rsid w:val="00262CB3"/>
    <w:rsid w:val="00262CF2"/>
    <w:rsid w:val="00265C5F"/>
    <w:rsid w:val="002A1C49"/>
    <w:rsid w:val="002A61E0"/>
    <w:rsid w:val="002B320F"/>
    <w:rsid w:val="002B4061"/>
    <w:rsid w:val="002B5A3E"/>
    <w:rsid w:val="002B68B2"/>
    <w:rsid w:val="002C235A"/>
    <w:rsid w:val="002C302F"/>
    <w:rsid w:val="002C4A63"/>
    <w:rsid w:val="002F0B26"/>
    <w:rsid w:val="002F375B"/>
    <w:rsid w:val="002F4DD5"/>
    <w:rsid w:val="00306695"/>
    <w:rsid w:val="00315C77"/>
    <w:rsid w:val="00325E75"/>
    <w:rsid w:val="00334840"/>
    <w:rsid w:val="003351A8"/>
    <w:rsid w:val="0033736C"/>
    <w:rsid w:val="00346A5E"/>
    <w:rsid w:val="00347A35"/>
    <w:rsid w:val="00356BC2"/>
    <w:rsid w:val="003625D7"/>
    <w:rsid w:val="0036568C"/>
    <w:rsid w:val="0037432F"/>
    <w:rsid w:val="0037685F"/>
    <w:rsid w:val="00393C6F"/>
    <w:rsid w:val="003A0A48"/>
    <w:rsid w:val="003A4E9D"/>
    <w:rsid w:val="003A799C"/>
    <w:rsid w:val="003B26EC"/>
    <w:rsid w:val="003C0B0E"/>
    <w:rsid w:val="003D709A"/>
    <w:rsid w:val="003E039C"/>
    <w:rsid w:val="003E0F98"/>
    <w:rsid w:val="003E2297"/>
    <w:rsid w:val="003F2347"/>
    <w:rsid w:val="00400D56"/>
    <w:rsid w:val="004028B4"/>
    <w:rsid w:val="00403F2E"/>
    <w:rsid w:val="0041417D"/>
    <w:rsid w:val="004414B4"/>
    <w:rsid w:val="00451288"/>
    <w:rsid w:val="00483A1C"/>
    <w:rsid w:val="0048768C"/>
    <w:rsid w:val="00493844"/>
    <w:rsid w:val="00493B6E"/>
    <w:rsid w:val="00495C8B"/>
    <w:rsid w:val="00497A1E"/>
    <w:rsid w:val="004A1472"/>
    <w:rsid w:val="004A7EF0"/>
    <w:rsid w:val="004B29AF"/>
    <w:rsid w:val="004C2468"/>
    <w:rsid w:val="004E26FC"/>
    <w:rsid w:val="004E3230"/>
    <w:rsid w:val="004E34F6"/>
    <w:rsid w:val="004E7CDC"/>
    <w:rsid w:val="004F0C50"/>
    <w:rsid w:val="004F4567"/>
    <w:rsid w:val="004F6DF3"/>
    <w:rsid w:val="00525F5F"/>
    <w:rsid w:val="00530F7B"/>
    <w:rsid w:val="00533FEE"/>
    <w:rsid w:val="00544103"/>
    <w:rsid w:val="00562FE3"/>
    <w:rsid w:val="00565BBA"/>
    <w:rsid w:val="005715BA"/>
    <w:rsid w:val="0057604A"/>
    <w:rsid w:val="00584105"/>
    <w:rsid w:val="00586573"/>
    <w:rsid w:val="00587E38"/>
    <w:rsid w:val="00595B65"/>
    <w:rsid w:val="0059766D"/>
    <w:rsid w:val="005A2E34"/>
    <w:rsid w:val="005A49DE"/>
    <w:rsid w:val="005A6C35"/>
    <w:rsid w:val="005B17D8"/>
    <w:rsid w:val="005B3548"/>
    <w:rsid w:val="005B6A59"/>
    <w:rsid w:val="005C1367"/>
    <w:rsid w:val="005C6AF2"/>
    <w:rsid w:val="005D03D8"/>
    <w:rsid w:val="005D78FA"/>
    <w:rsid w:val="005E16E4"/>
    <w:rsid w:val="006106A4"/>
    <w:rsid w:val="00610FB5"/>
    <w:rsid w:val="00611D77"/>
    <w:rsid w:val="00614A21"/>
    <w:rsid w:val="00617171"/>
    <w:rsid w:val="006224D3"/>
    <w:rsid w:val="00622C08"/>
    <w:rsid w:val="00623F18"/>
    <w:rsid w:val="00624F68"/>
    <w:rsid w:val="006360B8"/>
    <w:rsid w:val="006406D1"/>
    <w:rsid w:val="006418E9"/>
    <w:rsid w:val="006425CD"/>
    <w:rsid w:val="0064344C"/>
    <w:rsid w:val="00645D06"/>
    <w:rsid w:val="006537C5"/>
    <w:rsid w:val="00654859"/>
    <w:rsid w:val="00662973"/>
    <w:rsid w:val="00666054"/>
    <w:rsid w:val="00666F9F"/>
    <w:rsid w:val="00684838"/>
    <w:rsid w:val="006903D1"/>
    <w:rsid w:val="006A388C"/>
    <w:rsid w:val="006C35AD"/>
    <w:rsid w:val="006C6DAB"/>
    <w:rsid w:val="006D59FC"/>
    <w:rsid w:val="006E391B"/>
    <w:rsid w:val="006E796A"/>
    <w:rsid w:val="006F159F"/>
    <w:rsid w:val="006F2274"/>
    <w:rsid w:val="006F3542"/>
    <w:rsid w:val="0070109E"/>
    <w:rsid w:val="007100AD"/>
    <w:rsid w:val="007336DB"/>
    <w:rsid w:val="00733CB6"/>
    <w:rsid w:val="00737B3C"/>
    <w:rsid w:val="007442BC"/>
    <w:rsid w:val="00746511"/>
    <w:rsid w:val="0075412E"/>
    <w:rsid w:val="007640DC"/>
    <w:rsid w:val="00764D65"/>
    <w:rsid w:val="007709D2"/>
    <w:rsid w:val="007777E3"/>
    <w:rsid w:val="00781FE7"/>
    <w:rsid w:val="0078200A"/>
    <w:rsid w:val="007827CF"/>
    <w:rsid w:val="00785FBB"/>
    <w:rsid w:val="00793468"/>
    <w:rsid w:val="007A2D8E"/>
    <w:rsid w:val="007A70D2"/>
    <w:rsid w:val="007B3D8D"/>
    <w:rsid w:val="007C09E3"/>
    <w:rsid w:val="007C3C81"/>
    <w:rsid w:val="007C4CC3"/>
    <w:rsid w:val="007D601F"/>
    <w:rsid w:val="007F2665"/>
    <w:rsid w:val="007F2B6C"/>
    <w:rsid w:val="007F2D27"/>
    <w:rsid w:val="007F4CF8"/>
    <w:rsid w:val="008034A9"/>
    <w:rsid w:val="008036D8"/>
    <w:rsid w:val="008063B9"/>
    <w:rsid w:val="00812D53"/>
    <w:rsid w:val="00815E99"/>
    <w:rsid w:val="0083046F"/>
    <w:rsid w:val="0083064A"/>
    <w:rsid w:val="00844EA8"/>
    <w:rsid w:val="008569F1"/>
    <w:rsid w:val="00863AB2"/>
    <w:rsid w:val="00867076"/>
    <w:rsid w:val="0087190A"/>
    <w:rsid w:val="00881FD5"/>
    <w:rsid w:val="00883A0E"/>
    <w:rsid w:val="008A4F03"/>
    <w:rsid w:val="008B32C7"/>
    <w:rsid w:val="008B4E37"/>
    <w:rsid w:val="008C2B5D"/>
    <w:rsid w:val="008C4D87"/>
    <w:rsid w:val="008D6B4E"/>
    <w:rsid w:val="008E4681"/>
    <w:rsid w:val="008E4D0C"/>
    <w:rsid w:val="008F2807"/>
    <w:rsid w:val="009013E4"/>
    <w:rsid w:val="009057C7"/>
    <w:rsid w:val="0091182F"/>
    <w:rsid w:val="00914664"/>
    <w:rsid w:val="00916F6F"/>
    <w:rsid w:val="00921261"/>
    <w:rsid w:val="00932675"/>
    <w:rsid w:val="0093361C"/>
    <w:rsid w:val="00936CAD"/>
    <w:rsid w:val="00960DB2"/>
    <w:rsid w:val="009659C8"/>
    <w:rsid w:val="00971685"/>
    <w:rsid w:val="00973C22"/>
    <w:rsid w:val="00974B82"/>
    <w:rsid w:val="00982C3A"/>
    <w:rsid w:val="0099206D"/>
    <w:rsid w:val="009A0C33"/>
    <w:rsid w:val="009A44B1"/>
    <w:rsid w:val="009A7665"/>
    <w:rsid w:val="009B6803"/>
    <w:rsid w:val="009D26C5"/>
    <w:rsid w:val="009E4BE4"/>
    <w:rsid w:val="009F0029"/>
    <w:rsid w:val="009F3CC7"/>
    <w:rsid w:val="00A15B87"/>
    <w:rsid w:val="00A16075"/>
    <w:rsid w:val="00A21076"/>
    <w:rsid w:val="00A26916"/>
    <w:rsid w:val="00A375ED"/>
    <w:rsid w:val="00A42C77"/>
    <w:rsid w:val="00A543D3"/>
    <w:rsid w:val="00A54693"/>
    <w:rsid w:val="00A55A67"/>
    <w:rsid w:val="00A63A97"/>
    <w:rsid w:val="00A652CA"/>
    <w:rsid w:val="00A673B2"/>
    <w:rsid w:val="00A82244"/>
    <w:rsid w:val="00A907DD"/>
    <w:rsid w:val="00AA0370"/>
    <w:rsid w:val="00AA4DF7"/>
    <w:rsid w:val="00AA5194"/>
    <w:rsid w:val="00AB2D52"/>
    <w:rsid w:val="00AC5F92"/>
    <w:rsid w:val="00AD01F3"/>
    <w:rsid w:val="00AD1F24"/>
    <w:rsid w:val="00AD670B"/>
    <w:rsid w:val="00AE2C06"/>
    <w:rsid w:val="00AF62EC"/>
    <w:rsid w:val="00B017A4"/>
    <w:rsid w:val="00B126E2"/>
    <w:rsid w:val="00B17223"/>
    <w:rsid w:val="00B214AF"/>
    <w:rsid w:val="00B2204B"/>
    <w:rsid w:val="00B226BE"/>
    <w:rsid w:val="00B41DCD"/>
    <w:rsid w:val="00B52BCD"/>
    <w:rsid w:val="00B57697"/>
    <w:rsid w:val="00B636DF"/>
    <w:rsid w:val="00B674E2"/>
    <w:rsid w:val="00B71379"/>
    <w:rsid w:val="00B71596"/>
    <w:rsid w:val="00B96886"/>
    <w:rsid w:val="00B972D6"/>
    <w:rsid w:val="00BA7F65"/>
    <w:rsid w:val="00BB4DAC"/>
    <w:rsid w:val="00BC091C"/>
    <w:rsid w:val="00BC17AD"/>
    <w:rsid w:val="00BC2C41"/>
    <w:rsid w:val="00BD162C"/>
    <w:rsid w:val="00BE136F"/>
    <w:rsid w:val="00BE20CE"/>
    <w:rsid w:val="00BE76E2"/>
    <w:rsid w:val="00BF338E"/>
    <w:rsid w:val="00BF46B0"/>
    <w:rsid w:val="00C213CB"/>
    <w:rsid w:val="00C27240"/>
    <w:rsid w:val="00C3788F"/>
    <w:rsid w:val="00C436B4"/>
    <w:rsid w:val="00C55012"/>
    <w:rsid w:val="00C60BEE"/>
    <w:rsid w:val="00C6177E"/>
    <w:rsid w:val="00C632DD"/>
    <w:rsid w:val="00C675BD"/>
    <w:rsid w:val="00C72367"/>
    <w:rsid w:val="00C75885"/>
    <w:rsid w:val="00C80783"/>
    <w:rsid w:val="00C81FCC"/>
    <w:rsid w:val="00C8588A"/>
    <w:rsid w:val="00CA504F"/>
    <w:rsid w:val="00CA52D0"/>
    <w:rsid w:val="00CB2926"/>
    <w:rsid w:val="00CC7ABB"/>
    <w:rsid w:val="00CC7FCA"/>
    <w:rsid w:val="00CD1255"/>
    <w:rsid w:val="00CD3075"/>
    <w:rsid w:val="00CF1AB1"/>
    <w:rsid w:val="00CF58D4"/>
    <w:rsid w:val="00D01A4F"/>
    <w:rsid w:val="00D1346A"/>
    <w:rsid w:val="00D1746F"/>
    <w:rsid w:val="00D235FF"/>
    <w:rsid w:val="00D23EAF"/>
    <w:rsid w:val="00D3158E"/>
    <w:rsid w:val="00D40C05"/>
    <w:rsid w:val="00D46B07"/>
    <w:rsid w:val="00D47272"/>
    <w:rsid w:val="00D55363"/>
    <w:rsid w:val="00D554FA"/>
    <w:rsid w:val="00D56FAC"/>
    <w:rsid w:val="00D6378B"/>
    <w:rsid w:val="00D703C9"/>
    <w:rsid w:val="00D77971"/>
    <w:rsid w:val="00D82359"/>
    <w:rsid w:val="00D91A75"/>
    <w:rsid w:val="00DA35D2"/>
    <w:rsid w:val="00DB345E"/>
    <w:rsid w:val="00DB3FA5"/>
    <w:rsid w:val="00DB41B6"/>
    <w:rsid w:val="00DC1709"/>
    <w:rsid w:val="00DC6DB5"/>
    <w:rsid w:val="00DC76F7"/>
    <w:rsid w:val="00DC783B"/>
    <w:rsid w:val="00DD6531"/>
    <w:rsid w:val="00DE3AE8"/>
    <w:rsid w:val="00DE4D42"/>
    <w:rsid w:val="00DF0934"/>
    <w:rsid w:val="00DF27E8"/>
    <w:rsid w:val="00E001CB"/>
    <w:rsid w:val="00E00AC4"/>
    <w:rsid w:val="00E029B1"/>
    <w:rsid w:val="00E1245C"/>
    <w:rsid w:val="00E1748F"/>
    <w:rsid w:val="00E24CB3"/>
    <w:rsid w:val="00E24FCA"/>
    <w:rsid w:val="00E3161C"/>
    <w:rsid w:val="00E40B36"/>
    <w:rsid w:val="00E4407D"/>
    <w:rsid w:val="00E45301"/>
    <w:rsid w:val="00E503EA"/>
    <w:rsid w:val="00E50B76"/>
    <w:rsid w:val="00E55E36"/>
    <w:rsid w:val="00E573EF"/>
    <w:rsid w:val="00E641A2"/>
    <w:rsid w:val="00E64450"/>
    <w:rsid w:val="00E75EA5"/>
    <w:rsid w:val="00E76712"/>
    <w:rsid w:val="00E81BEE"/>
    <w:rsid w:val="00E83B02"/>
    <w:rsid w:val="00E90DEA"/>
    <w:rsid w:val="00E916F6"/>
    <w:rsid w:val="00EC0DBA"/>
    <w:rsid w:val="00ED090D"/>
    <w:rsid w:val="00EE756D"/>
    <w:rsid w:val="00EF2142"/>
    <w:rsid w:val="00F04358"/>
    <w:rsid w:val="00F052AF"/>
    <w:rsid w:val="00F06620"/>
    <w:rsid w:val="00F10F2F"/>
    <w:rsid w:val="00F12DC0"/>
    <w:rsid w:val="00F13CD9"/>
    <w:rsid w:val="00F15AF0"/>
    <w:rsid w:val="00F3210B"/>
    <w:rsid w:val="00F47C24"/>
    <w:rsid w:val="00F50244"/>
    <w:rsid w:val="00F505CF"/>
    <w:rsid w:val="00F57BDE"/>
    <w:rsid w:val="00F66C8C"/>
    <w:rsid w:val="00F67E0A"/>
    <w:rsid w:val="00F801E4"/>
    <w:rsid w:val="00FA054E"/>
    <w:rsid w:val="00FA0FCA"/>
    <w:rsid w:val="00FA37D8"/>
    <w:rsid w:val="00FA40DE"/>
    <w:rsid w:val="00FA4F9E"/>
    <w:rsid w:val="00FA6C41"/>
    <w:rsid w:val="00FA6CD1"/>
    <w:rsid w:val="00FB47BC"/>
    <w:rsid w:val="00FB6787"/>
    <w:rsid w:val="00FD5842"/>
    <w:rsid w:val="00FE482C"/>
    <w:rsid w:val="00FE5FC0"/>
    <w:rsid w:val="00FE79FA"/>
    <w:rsid w:val="00FF2534"/>
    <w:rsid w:val="067D2894"/>
    <w:rsid w:val="068E3CC2"/>
    <w:rsid w:val="07290B0F"/>
    <w:rsid w:val="07F51A68"/>
    <w:rsid w:val="09CF6A6D"/>
    <w:rsid w:val="0E1B4E2E"/>
    <w:rsid w:val="0F02684E"/>
    <w:rsid w:val="16050D55"/>
    <w:rsid w:val="164F5778"/>
    <w:rsid w:val="16806D16"/>
    <w:rsid w:val="1C1B7FF5"/>
    <w:rsid w:val="1CA93C37"/>
    <w:rsid w:val="23C80EDF"/>
    <w:rsid w:val="27FDF82C"/>
    <w:rsid w:val="28533C72"/>
    <w:rsid w:val="29CE5704"/>
    <w:rsid w:val="2D285266"/>
    <w:rsid w:val="329840F4"/>
    <w:rsid w:val="33C736AF"/>
    <w:rsid w:val="34690530"/>
    <w:rsid w:val="37374904"/>
    <w:rsid w:val="39EA5CCE"/>
    <w:rsid w:val="3AB4160A"/>
    <w:rsid w:val="3D896BAC"/>
    <w:rsid w:val="43F726F7"/>
    <w:rsid w:val="459E19A3"/>
    <w:rsid w:val="4AB314AF"/>
    <w:rsid w:val="4AE7EF5F"/>
    <w:rsid w:val="4D263F34"/>
    <w:rsid w:val="4D3068D6"/>
    <w:rsid w:val="54D1617C"/>
    <w:rsid w:val="5E79D742"/>
    <w:rsid w:val="61B13122"/>
    <w:rsid w:val="66BC1FB4"/>
    <w:rsid w:val="66FE049D"/>
    <w:rsid w:val="67FF589F"/>
    <w:rsid w:val="69715FB0"/>
    <w:rsid w:val="69935C43"/>
    <w:rsid w:val="6B7870EB"/>
    <w:rsid w:val="73B87732"/>
    <w:rsid w:val="775F7D06"/>
    <w:rsid w:val="77687218"/>
    <w:rsid w:val="7775637F"/>
    <w:rsid w:val="777A26E8"/>
    <w:rsid w:val="7BF64E99"/>
    <w:rsid w:val="7CCF4A38"/>
    <w:rsid w:val="7FE7C0A0"/>
    <w:rsid w:val="9EE76F2F"/>
    <w:rsid w:val="9FF771FD"/>
    <w:rsid w:val="A7FFECE8"/>
    <w:rsid w:val="B9EF1609"/>
    <w:rsid w:val="BBFBC42A"/>
    <w:rsid w:val="BD735D1F"/>
    <w:rsid w:val="BF238890"/>
    <w:rsid w:val="BF671972"/>
    <w:rsid w:val="D1670B2D"/>
    <w:rsid w:val="DB6571B3"/>
    <w:rsid w:val="DD2B9B12"/>
    <w:rsid w:val="DFEE3E6D"/>
    <w:rsid w:val="E9FFBD1D"/>
    <w:rsid w:val="FDFD1EB5"/>
    <w:rsid w:val="FE5F6DF5"/>
    <w:rsid w:val="FF7E3CF8"/>
    <w:rsid w:val="FFCB81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7"/>
    <w:qFormat/>
    <w:uiPriority w:val="99"/>
    <w:pPr>
      <w:spacing w:after="120" w:line="480" w:lineRule="auto"/>
      <w:ind w:left="420" w:leftChars="200"/>
    </w:pPr>
    <w:rPr>
      <w:rFonts w:ascii="Times New Roman" w:hAnsi="Times New Roman"/>
      <w:szCs w:val="20"/>
    </w:r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rFonts w:cs="Times New Roman"/>
      <w:color w:val="0000FF"/>
      <w:u w:val="single"/>
    </w:rPr>
  </w:style>
  <w:style w:type="character" w:customStyle="1" w:styleId="10">
    <w:name w:val="批注框文本 字符"/>
    <w:link w:val="3"/>
    <w:semiHidden/>
    <w:qFormat/>
    <w:uiPriority w:val="99"/>
    <w:rPr>
      <w:sz w:val="18"/>
      <w:szCs w:val="18"/>
    </w:rPr>
  </w:style>
  <w:style w:type="character" w:customStyle="1" w:styleId="11">
    <w:name w:val="页脚 字符"/>
    <w:link w:val="4"/>
    <w:qFormat/>
    <w:uiPriority w:val="99"/>
    <w:rPr>
      <w:sz w:val="18"/>
      <w:szCs w:val="18"/>
    </w:rPr>
  </w:style>
  <w:style w:type="character" w:customStyle="1" w:styleId="12">
    <w:name w:val="列出段落 Char"/>
    <w:link w:val="13"/>
    <w:qFormat/>
    <w:locked/>
    <w:uiPriority w:val="34"/>
    <w:rPr>
      <w:rFonts w:ascii="Times New Roman" w:hAnsi="Times New Roman" w:eastAsia="宋体" w:cs="Times New Roman"/>
      <w:kern w:val="2"/>
      <w:sz w:val="21"/>
      <w:szCs w:val="21"/>
    </w:rPr>
  </w:style>
  <w:style w:type="paragraph" w:customStyle="1" w:styleId="13">
    <w:name w:val="列出段落11"/>
    <w:basedOn w:val="1"/>
    <w:link w:val="12"/>
    <w:qFormat/>
    <w:uiPriority w:val="34"/>
    <w:pPr>
      <w:ind w:firstLine="420" w:firstLineChars="200"/>
    </w:pPr>
    <w:rPr>
      <w:rFonts w:ascii="Times New Roman" w:hAnsi="Times New Roman"/>
      <w:szCs w:val="21"/>
    </w:rPr>
  </w:style>
  <w:style w:type="character" w:customStyle="1" w:styleId="14">
    <w:name w:val="页眉 字符"/>
    <w:link w:val="5"/>
    <w:qFormat/>
    <w:uiPriority w:val="99"/>
    <w:rPr>
      <w:sz w:val="18"/>
      <w:szCs w:val="18"/>
    </w:rPr>
  </w:style>
  <w:style w:type="character" w:customStyle="1" w:styleId="15">
    <w:name w:val="Dev2 Char"/>
    <w:link w:val="16"/>
    <w:qFormat/>
    <w:uiPriority w:val="0"/>
    <w:rPr>
      <w:rFonts w:ascii="Times New Roman" w:hAnsi="Times New Roman" w:eastAsia="宋体" w:cs="Times New Roman"/>
      <w:sz w:val="24"/>
      <w:szCs w:val="21"/>
      <w:lang w:val="zh-CN" w:eastAsia="zh-CN"/>
    </w:rPr>
  </w:style>
  <w:style w:type="paragraph" w:customStyle="1" w:styleId="16">
    <w:name w:val="Dev2"/>
    <w:basedOn w:val="1"/>
    <w:link w:val="15"/>
    <w:qFormat/>
    <w:uiPriority w:val="0"/>
    <w:pPr>
      <w:numPr>
        <w:ilvl w:val="0"/>
        <w:numId w:val="1"/>
      </w:numPr>
      <w:spacing w:after="60" w:line="360" w:lineRule="auto"/>
    </w:pPr>
    <w:rPr>
      <w:rFonts w:ascii="Times New Roman" w:hAnsi="Times New Roman"/>
      <w:sz w:val="24"/>
      <w:szCs w:val="21"/>
      <w:lang w:val="zh-CN"/>
    </w:rPr>
  </w:style>
  <w:style w:type="character" w:customStyle="1" w:styleId="17">
    <w:name w:val="正文文本缩进 2 字符"/>
    <w:link w:val="2"/>
    <w:qFormat/>
    <w:uiPriority w:val="99"/>
    <w:rPr>
      <w:rFonts w:ascii="Times New Roman" w:hAnsi="Times New Roman" w:eastAsia="宋体" w:cs="Times New Roman"/>
      <w:szCs w:val="20"/>
    </w:rPr>
  </w:style>
  <w:style w:type="paragraph" w:customStyle="1" w:styleId="18">
    <w:name w:val="List Paragraph1"/>
    <w:basedOn w:val="1"/>
    <w:qFormat/>
    <w:uiPriority w:val="99"/>
    <w:pPr>
      <w:ind w:firstLine="200" w:firstLineChars="200"/>
    </w:pPr>
    <w:rPr>
      <w:rFonts w:cs="Arial"/>
    </w:rPr>
  </w:style>
  <w:style w:type="paragraph" w:customStyle="1" w:styleId="19">
    <w:name w:val="列表段落1"/>
    <w:basedOn w:val="1"/>
    <w:qFormat/>
    <w:uiPriority w:val="99"/>
    <w:pPr>
      <w:ind w:firstLine="420" w:firstLineChars="200"/>
    </w:pPr>
  </w:style>
  <w:style w:type="paragraph" w:customStyle="1" w:styleId="20">
    <w:name w:val="列出段落1"/>
    <w:basedOn w:val="1"/>
    <w:qFormat/>
    <w:uiPriority w:val="0"/>
    <w:pPr>
      <w:ind w:firstLine="420" w:firstLineChars="200"/>
    </w:pPr>
  </w:style>
  <w:style w:type="paragraph" w:customStyle="1" w:styleId="21">
    <w:name w:val="列出段落2"/>
    <w:basedOn w:val="1"/>
    <w:qFormat/>
    <w:uiPriority w:val="0"/>
    <w:pPr>
      <w:ind w:firstLine="420" w:firstLineChars="200"/>
    </w:pPr>
    <w:rPr>
      <w:rFonts w:ascii="Times New Roman" w:hAnsi="Times New Roman"/>
      <w:szCs w:val="21"/>
    </w:rPr>
  </w:style>
  <w:style w:type="table" w:customStyle="1" w:styleId="22">
    <w:name w:val="无格式表格 11"/>
    <w:basedOn w:val="6"/>
    <w:qFormat/>
    <w:uiPriority w:val="41"/>
    <w:rPr>
      <w:color w:val="3F3F3F"/>
      <w:kern w:val="2"/>
    </w:rPr>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styleId="2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762</Words>
  <Characters>4349</Characters>
  <Lines>36</Lines>
  <Paragraphs>10</Paragraphs>
  <TotalTime>0</TotalTime>
  <ScaleCrop>false</ScaleCrop>
  <LinksUpToDate>false</LinksUpToDate>
  <CharactersWithSpaces>5101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2022-01-05T08:43:00Z</dcterms:created>
  <dc:creator>Administrator</dc:creator>
  <cp:lastModifiedBy>Administrator</cp:lastModifiedBy>
  <dcterms:modified xsi:type="dcterms:W3CDTF">2022-04-22T01:13:40Z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68F5F388329C4DA49996C28012956003</vt:lpwstr>
  </property>
</Properties>
</file>